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00" w:firstLineChars="500"/>
        <w:rPr>
          <w:rFonts w:hint="eastAsia" w:eastAsiaTheme="minorEastAsia"/>
          <w:sz w:val="36"/>
          <w:szCs w:val="36"/>
          <w:lang w:val="en-US" w:eastAsia="zh-CN"/>
        </w:rPr>
      </w:pPr>
      <w:bookmarkStart w:id="0" w:name="_GoBack"/>
      <w:r>
        <w:rPr>
          <w:rFonts w:hint="eastAsia"/>
          <w:sz w:val="36"/>
          <w:szCs w:val="36"/>
          <w:lang w:val="en-US" w:eastAsia="zh-CN"/>
        </w:rPr>
        <w:t>圣堂镇</w:t>
      </w:r>
      <w:bookmarkEnd w:id="0"/>
      <w:r>
        <w:rPr>
          <w:rFonts w:hint="eastAsia"/>
          <w:sz w:val="36"/>
          <w:szCs w:val="36"/>
          <w:lang w:eastAsia="zh-CN"/>
        </w:rPr>
        <w:t>非税收入缴款通知书</w:t>
      </w:r>
      <w:r>
        <w:rPr>
          <w:rFonts w:hint="eastAsia"/>
          <w:sz w:val="36"/>
          <w:szCs w:val="36"/>
          <w:lang w:val="en-US" w:eastAsia="zh-CN"/>
        </w:rPr>
        <w:t xml:space="preserve"> NO:</w:t>
      </w:r>
    </w:p>
    <w:p>
      <w:pPr>
        <w:rPr>
          <w:rFonts w:hint="default" w:ascii="宋体" w:hAnsi="宋体" w:eastAsia="宋体" w:cs="宋体"/>
          <w:sz w:val="21"/>
          <w:szCs w:val="21"/>
          <w:lang w:val="en-US" w:eastAsia="zh-CN"/>
        </w:rPr>
      </w:pPr>
      <w:r>
        <w:rPr>
          <w:rFonts w:hint="eastAsia" w:ascii="宋体" w:hAnsi="宋体" w:eastAsia="宋体" w:cs="宋体"/>
          <w:sz w:val="21"/>
          <w:szCs w:val="21"/>
          <w:lang w:eastAsia="zh-CN"/>
        </w:rPr>
        <w:t>日期：</w:t>
      </w:r>
      <w:r>
        <w:rPr>
          <w:rFonts w:hint="eastAsia" w:ascii="宋体" w:hAnsi="宋体" w:eastAsia="宋体" w:cs="宋体"/>
          <w:sz w:val="21"/>
          <w:szCs w:val="21"/>
          <w:lang w:val="en-US" w:eastAsia="zh-CN"/>
        </w:rPr>
        <w:t xml:space="preserve">     年  月  日                       金额单位：(元)</w:t>
      </w:r>
    </w:p>
    <w:tbl>
      <w:tblPr>
        <w:tblStyle w:val="3"/>
        <w:tblW w:w="0" w:type="auto"/>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6"/>
        <w:gridCol w:w="1932"/>
        <w:gridCol w:w="1050"/>
        <w:gridCol w:w="1162"/>
        <w:gridCol w:w="121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执收单位名称</w:t>
            </w:r>
          </w:p>
        </w:tc>
        <w:tc>
          <w:tcPr>
            <w:tcW w:w="2982" w:type="dxa"/>
            <w:gridSpan w:val="2"/>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执收单位编码</w:t>
            </w:r>
          </w:p>
        </w:tc>
        <w:tc>
          <w:tcPr>
            <w:tcW w:w="2545" w:type="dxa"/>
            <w:gridSpan w:val="2"/>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缴款单位/个人</w:t>
            </w:r>
          </w:p>
        </w:tc>
        <w:tc>
          <w:tcPr>
            <w:tcW w:w="6689" w:type="dxa"/>
            <w:gridSpan w:val="5"/>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缴款项目编码</w:t>
            </w:r>
          </w:p>
        </w:tc>
        <w:tc>
          <w:tcPr>
            <w:tcW w:w="1932"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缴款项目名称</w:t>
            </w:r>
          </w:p>
        </w:tc>
        <w:tc>
          <w:tcPr>
            <w:tcW w:w="1050"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标准</w:t>
            </w:r>
          </w:p>
        </w:tc>
        <w:tc>
          <w:tcPr>
            <w:tcW w:w="1162"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数量</w:t>
            </w:r>
          </w:p>
        </w:tc>
        <w:tc>
          <w:tcPr>
            <w:tcW w:w="1219"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滞纳金率</w:t>
            </w:r>
          </w:p>
        </w:tc>
        <w:tc>
          <w:tcPr>
            <w:tcW w:w="132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default"/>
                <w:sz w:val="24"/>
                <w:szCs w:val="24"/>
                <w:vertAlign w:val="baseline"/>
                <w:lang w:val="en-US" w:eastAsia="zh-CN"/>
              </w:rPr>
            </w:pPr>
          </w:p>
        </w:tc>
        <w:tc>
          <w:tcPr>
            <w:tcW w:w="1932" w:type="dxa"/>
            <w:vAlign w:val="center"/>
          </w:tcPr>
          <w:p>
            <w:pPr>
              <w:jc w:val="center"/>
              <w:rPr>
                <w:rFonts w:hint="eastAsia" w:ascii="宋体" w:hAnsi="宋体" w:eastAsia="宋体" w:cs="宋体"/>
                <w:sz w:val="15"/>
                <w:szCs w:val="15"/>
                <w:vertAlign w:val="baseline"/>
                <w:lang w:val="en-US" w:eastAsia="zh-CN"/>
              </w:rPr>
            </w:pPr>
          </w:p>
        </w:tc>
        <w:tc>
          <w:tcPr>
            <w:tcW w:w="1050" w:type="dxa"/>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p>
        </w:tc>
        <w:tc>
          <w:tcPr>
            <w:tcW w:w="1219" w:type="dxa"/>
            <w:vAlign w:val="center"/>
          </w:tcPr>
          <w:p>
            <w:pPr>
              <w:jc w:val="center"/>
              <w:rPr>
                <w:rFonts w:hint="eastAsia" w:ascii="宋体" w:hAnsi="宋体" w:eastAsia="宋体" w:cs="宋体"/>
                <w:sz w:val="15"/>
                <w:szCs w:val="15"/>
                <w:vertAlign w:val="baseline"/>
                <w:lang w:val="en-US" w:eastAsia="zh-CN"/>
              </w:rPr>
            </w:pPr>
          </w:p>
        </w:tc>
        <w:tc>
          <w:tcPr>
            <w:tcW w:w="1326" w:type="dxa"/>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default"/>
                <w:sz w:val="24"/>
                <w:szCs w:val="24"/>
                <w:vertAlign w:val="baseline"/>
                <w:lang w:val="en-US" w:eastAsia="zh-CN"/>
              </w:rPr>
            </w:pPr>
          </w:p>
        </w:tc>
        <w:tc>
          <w:tcPr>
            <w:tcW w:w="1932" w:type="dxa"/>
            <w:vAlign w:val="center"/>
          </w:tcPr>
          <w:p>
            <w:pPr>
              <w:jc w:val="center"/>
              <w:rPr>
                <w:rFonts w:hint="eastAsia" w:ascii="宋体" w:hAnsi="宋体" w:eastAsia="宋体" w:cs="宋体"/>
                <w:sz w:val="15"/>
                <w:szCs w:val="15"/>
                <w:vertAlign w:val="baseline"/>
                <w:lang w:val="en-US" w:eastAsia="zh-CN"/>
              </w:rPr>
            </w:pPr>
          </w:p>
        </w:tc>
        <w:tc>
          <w:tcPr>
            <w:tcW w:w="1050" w:type="dxa"/>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p>
        </w:tc>
        <w:tc>
          <w:tcPr>
            <w:tcW w:w="1219" w:type="dxa"/>
            <w:vAlign w:val="center"/>
          </w:tcPr>
          <w:p>
            <w:pPr>
              <w:jc w:val="center"/>
              <w:rPr>
                <w:rFonts w:hint="eastAsia" w:ascii="宋体" w:hAnsi="宋体" w:eastAsia="宋体" w:cs="宋体"/>
                <w:sz w:val="15"/>
                <w:szCs w:val="15"/>
                <w:vertAlign w:val="baseline"/>
                <w:lang w:val="en-US" w:eastAsia="zh-CN"/>
              </w:rPr>
            </w:pPr>
          </w:p>
        </w:tc>
        <w:tc>
          <w:tcPr>
            <w:tcW w:w="1326" w:type="dxa"/>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default"/>
                <w:sz w:val="24"/>
                <w:szCs w:val="24"/>
                <w:vertAlign w:val="baseline"/>
                <w:lang w:val="en-US" w:eastAsia="zh-CN"/>
              </w:rPr>
            </w:pPr>
          </w:p>
        </w:tc>
        <w:tc>
          <w:tcPr>
            <w:tcW w:w="1932" w:type="dxa"/>
            <w:vAlign w:val="center"/>
          </w:tcPr>
          <w:p>
            <w:pPr>
              <w:jc w:val="center"/>
              <w:rPr>
                <w:rFonts w:hint="eastAsia" w:ascii="宋体" w:hAnsi="宋体" w:eastAsia="宋体" w:cs="宋体"/>
                <w:sz w:val="15"/>
                <w:szCs w:val="15"/>
                <w:vertAlign w:val="baseline"/>
                <w:lang w:val="en-US" w:eastAsia="zh-CN"/>
              </w:rPr>
            </w:pPr>
          </w:p>
        </w:tc>
        <w:tc>
          <w:tcPr>
            <w:tcW w:w="1050" w:type="dxa"/>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p>
        </w:tc>
        <w:tc>
          <w:tcPr>
            <w:tcW w:w="1219" w:type="dxa"/>
            <w:vAlign w:val="center"/>
          </w:tcPr>
          <w:p>
            <w:pPr>
              <w:jc w:val="center"/>
              <w:rPr>
                <w:rFonts w:hint="eastAsia" w:ascii="宋体" w:hAnsi="宋体" w:eastAsia="宋体" w:cs="宋体"/>
                <w:sz w:val="15"/>
                <w:szCs w:val="15"/>
                <w:vertAlign w:val="baseline"/>
                <w:lang w:val="en-US" w:eastAsia="zh-CN"/>
              </w:rPr>
            </w:pPr>
          </w:p>
        </w:tc>
        <w:tc>
          <w:tcPr>
            <w:tcW w:w="1326" w:type="dxa"/>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sz w:val="24"/>
                <w:szCs w:val="24"/>
                <w:vertAlign w:val="baseline"/>
                <w:lang w:val="en-US" w:eastAsia="zh-CN"/>
              </w:rPr>
            </w:pPr>
            <w:r>
              <w:rPr>
                <w:rFonts w:hint="eastAsia" w:ascii="宋体" w:hAnsi="宋体" w:eastAsia="宋体" w:cs="宋体"/>
                <w:sz w:val="15"/>
                <w:szCs w:val="15"/>
                <w:vertAlign w:val="baseline"/>
                <w:lang w:val="en-US" w:eastAsia="zh-CN"/>
              </w:rPr>
              <w:t>合计</w:t>
            </w:r>
          </w:p>
        </w:tc>
        <w:tc>
          <w:tcPr>
            <w:tcW w:w="6689" w:type="dxa"/>
            <w:gridSpan w:val="5"/>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万    仟     佰     拾     元整       ¥</w:t>
            </w:r>
          </w:p>
        </w:tc>
      </w:tr>
    </w:tbl>
    <w:tbl>
      <w:tblPr>
        <w:tblStyle w:val="3"/>
        <w:tblpPr w:leftFromText="180" w:rightFromText="180" w:vertAnchor="text" w:horzAnchor="page" w:tblpX="1765" w:tblpY="87"/>
        <w:tblOverlap w:val="never"/>
        <w:tblW w:w="8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2067"/>
        <w:gridCol w:w="2720"/>
        <w:gridCol w:w="1907"/>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序号</w:t>
            </w:r>
          </w:p>
        </w:tc>
        <w:tc>
          <w:tcPr>
            <w:tcW w:w="2067"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银行</w:t>
            </w:r>
          </w:p>
        </w:tc>
        <w:tc>
          <w:tcPr>
            <w:tcW w:w="272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账户名称</w:t>
            </w:r>
          </w:p>
        </w:tc>
        <w:tc>
          <w:tcPr>
            <w:tcW w:w="1907"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账号</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sz w:val="24"/>
                <w:szCs w:val="24"/>
                <w:vertAlign w:val="baseline"/>
                <w:lang w:val="en-US" w:eastAsia="zh-CN"/>
              </w:rPr>
            </w:pPr>
            <w:r>
              <w:rPr>
                <w:rFonts w:hint="eastAsia" w:ascii="宋体" w:hAnsi="宋体" w:eastAsia="宋体" w:cs="宋体"/>
                <w:sz w:val="15"/>
                <w:szCs w:val="15"/>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工商银行恩平支行</w:t>
            </w:r>
          </w:p>
        </w:tc>
        <w:tc>
          <w:tcPr>
            <w:tcW w:w="2720" w:type="dxa"/>
            <w:vAlign w:val="center"/>
          </w:tcPr>
          <w:p>
            <w:pPr>
              <w:jc w:val="both"/>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代理地方非税收入收缴业务资金缴款</w:t>
            </w:r>
          </w:p>
        </w:tc>
        <w:tc>
          <w:tcPr>
            <w:tcW w:w="1907" w:type="dxa"/>
            <w:vAlign w:val="center"/>
          </w:tcPr>
          <w:p>
            <w:pPr>
              <w:jc w:val="both"/>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2012009011201022128</w:t>
            </w:r>
          </w:p>
        </w:tc>
        <w:tc>
          <w:tcPr>
            <w:tcW w:w="1290" w:type="dxa"/>
            <w:vMerge w:val="restart"/>
            <w:vAlign w:val="center"/>
          </w:tcPr>
          <w:p>
            <w:pPr>
              <w:jc w:val="center"/>
              <w:rPr>
                <w:rFonts w:hint="default"/>
                <w:sz w:val="24"/>
                <w:szCs w:val="24"/>
                <w:vertAlign w:val="baseline"/>
                <w:lang w:val="en-US" w:eastAsia="zh-CN"/>
              </w:rPr>
            </w:pPr>
            <w:r>
              <w:rPr>
                <w:rFonts w:hint="eastAsia"/>
                <w:sz w:val="15"/>
                <w:szCs w:val="15"/>
                <w:vertAlign w:val="baseline"/>
                <w:lang w:val="en-US" w:eastAsia="zh-CN"/>
              </w:rPr>
              <w:t>非税收入、缴款识别码。例如：非税收入、44160021000000000001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农业银行恩平支行</w:t>
            </w:r>
          </w:p>
        </w:tc>
        <w:tc>
          <w:tcPr>
            <w:tcW w:w="2720" w:type="dxa"/>
            <w:vAlign w:val="center"/>
          </w:tcPr>
          <w:p>
            <w:pPr>
              <w:jc w:val="both"/>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代理地方非税收入收缴待结算款项</w:t>
            </w:r>
          </w:p>
        </w:tc>
        <w:tc>
          <w:tcPr>
            <w:tcW w:w="1907" w:type="dxa"/>
            <w:vAlign w:val="center"/>
          </w:tcPr>
          <w:p>
            <w:pPr>
              <w:jc w:val="both"/>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44416001010046148</w:t>
            </w:r>
          </w:p>
        </w:tc>
        <w:tc>
          <w:tcPr>
            <w:tcW w:w="1290" w:type="dxa"/>
            <w:vMerge w:val="continue"/>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3</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建设银行恩平支行</w:t>
            </w:r>
          </w:p>
        </w:tc>
        <w:tc>
          <w:tcPr>
            <w:tcW w:w="2720" w:type="dxa"/>
            <w:vAlign w:val="center"/>
          </w:tcPr>
          <w:p>
            <w:pPr>
              <w:jc w:val="both"/>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待报解预算收入暂挂户</w:t>
            </w:r>
          </w:p>
        </w:tc>
        <w:tc>
          <w:tcPr>
            <w:tcW w:w="1907" w:type="dxa"/>
            <w:vAlign w:val="center"/>
          </w:tcPr>
          <w:p>
            <w:pPr>
              <w:jc w:val="both"/>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241035009908003</w:t>
            </w:r>
          </w:p>
        </w:tc>
        <w:tc>
          <w:tcPr>
            <w:tcW w:w="1290" w:type="dxa"/>
            <w:vMerge w:val="continue"/>
            <w:vAlign w:val="center"/>
          </w:tcPr>
          <w:p>
            <w:pPr>
              <w:jc w:val="center"/>
              <w:rPr>
                <w:rFonts w:hint="default"/>
                <w:sz w:val="24"/>
                <w:szCs w:val="24"/>
                <w:vertAlign w:val="baseline"/>
                <w:lang w:val="en-US" w:eastAsia="zh-CN"/>
              </w:rPr>
            </w:pPr>
          </w:p>
        </w:tc>
      </w:tr>
    </w:tbl>
    <w:tbl>
      <w:tblPr>
        <w:tblStyle w:val="3"/>
        <w:tblpPr w:leftFromText="180" w:rightFromText="180" w:vertAnchor="text" w:horzAnchor="page" w:tblpX="1756" w:tblpY="370"/>
        <w:tblOverlap w:val="never"/>
        <w:tblW w:w="8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819"/>
        <w:gridCol w:w="1221"/>
        <w:gridCol w:w="900"/>
        <w:gridCol w:w="1061"/>
        <w:gridCol w:w="1060"/>
        <w:gridCol w:w="1062"/>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26"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滞纳金起计日期</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p>
        </w:tc>
        <w:tc>
          <w:tcPr>
            <w:tcW w:w="1221"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缴款截止日期</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p>
        </w:tc>
        <w:tc>
          <w:tcPr>
            <w:tcW w:w="1061"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号码校验码</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全书校验码</w:t>
            </w:r>
          </w:p>
        </w:tc>
        <w:tc>
          <w:tcPr>
            <w:tcW w:w="1055" w:type="dxa"/>
            <w:vAlign w:val="top"/>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sz w:val="15"/>
                <w:szCs w:val="15"/>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执收单位（盖章）                经办人：               复核人：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1、缴款单位（或个人）使用转账方式缴纳恩平市本级非税收入时，需在转账单备注栏中注明“非税收入、缴款识别码”，例如“</w:t>
      </w:r>
      <w:r>
        <w:rPr>
          <w:rFonts w:hint="eastAsia" w:ascii="方正仿宋简体" w:hAnsi="方正仿宋简体" w:eastAsia="方正仿宋简体" w:cs="方正仿宋简体"/>
          <w:sz w:val="24"/>
          <w:szCs w:val="24"/>
          <w:vertAlign w:val="baseline"/>
          <w:lang w:val="en-US" w:eastAsia="zh-CN"/>
        </w:rPr>
        <w:t>非税收入、44160021000000000001</w:t>
      </w:r>
      <w:r>
        <w:rPr>
          <w:rFonts w:hint="eastAsia" w:ascii="方正仿宋简体" w:hAnsi="方正仿宋简体" w:eastAsia="方正仿宋简体" w:cs="方正仿宋简体"/>
          <w:sz w:val="24"/>
          <w:szCs w:val="24"/>
          <w:lang w:val="en-US" w:eastAsia="zh-CN"/>
        </w:rPr>
        <w:t>”。转账办理缴费业务后，缴款单位（或个人）可登录广东公共支付平台输入缴款识别码查询缴费后开具。电子票据为报销和办理业务的唯一有效凭证。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2、缴费单位（或个人）转账后未及时获得电子票据的务必在转账当月通过拨打主办行联系电话查询款项是否到账，确认款项到账后，缴款单位（或个人）可登录广东公共支付平台输入缴款识别码查询缴费后开具，如未按备注信息转账，收款银行于30天后将转账款作退回原账户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3、银行咨询电话： 工商银行恩平分行营业部：0750-7712843；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 xml:space="preserve">                  农业银行恩平分行：0750-7722573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160" w:firstLineChars="900"/>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建设银行恩平市分行：0750-7722933、0750-3298354。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2163E"/>
    <w:rsid w:val="11BD61AE"/>
    <w:rsid w:val="1C1E4784"/>
    <w:rsid w:val="1CD833D1"/>
    <w:rsid w:val="1EC27692"/>
    <w:rsid w:val="29A52B9D"/>
    <w:rsid w:val="34E313A7"/>
    <w:rsid w:val="362B6D8E"/>
    <w:rsid w:val="5BE2171C"/>
    <w:rsid w:val="5C5647B3"/>
    <w:rsid w:val="5DC2163E"/>
    <w:rsid w:val="61604A59"/>
    <w:rsid w:val="63C45D64"/>
    <w:rsid w:val="73417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2021-04-01T03:51:00Z</dcterms:created>
  <dc:creator>Mascot</dc:creator>
  <cp:lastModifiedBy>Administrator</cp:lastModifiedBy>
  <cp:lastPrinted>2021-09-09T02:19:00Z</cp:lastPrinted>
  <dcterms:modified xsi:type="dcterms:W3CDTF">2021-09-10T01:06:51Z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D7E6F9412379413C89588C0F31D557EF</vt:lpwstr>
  </property>
</Properties>
</file>