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1800" w:firstLineChars="500"/>
        <w:rPr>
          <w:rFonts w:hint="eastAsia" w:eastAsiaTheme="minorEastAsia"/>
          <w:sz w:val="36"/>
          <w:szCs w:val="36"/>
          <w:lang w:val="en-US" w:eastAsia="zh-CN"/>
        </w:rPr>
      </w:pPr>
      <w:bookmarkStart w:id="0" w:name="_GoBack"/>
      <w:r>
        <w:rPr>
          <w:rFonts w:hint="eastAsia"/>
          <w:sz w:val="36"/>
          <w:szCs w:val="36"/>
          <w:lang w:val="en-US" w:eastAsia="zh-CN"/>
        </w:rPr>
        <w:t>良西镇</w:t>
      </w:r>
      <w:r>
        <w:rPr>
          <w:rFonts w:hint="eastAsia"/>
          <w:sz w:val="36"/>
          <w:szCs w:val="36"/>
          <w:lang w:eastAsia="zh-CN"/>
        </w:rPr>
        <w:t>非税收入缴款通知书</w:t>
      </w:r>
      <w:bookmarkEnd w:id="0"/>
      <w:r>
        <w:rPr>
          <w:rFonts w:hint="eastAsia"/>
          <w:sz w:val="36"/>
          <w:szCs w:val="36"/>
          <w:lang w:val="en-US" w:eastAsia="zh-CN"/>
        </w:rPr>
        <w:t xml:space="preserve"> NO:</w:t>
      </w:r>
    </w:p>
    <w:p>
      <w:pPr>
        <w:rPr>
          <w:rFonts w:hint="default" w:ascii="宋体" w:hAnsi="宋体" w:eastAsia="宋体" w:cs="宋体"/>
          <w:sz w:val="21"/>
          <w:szCs w:val="21"/>
          <w:lang w:val="en-US" w:eastAsia="zh-CN"/>
        </w:rPr>
      </w:pPr>
      <w:r>
        <w:rPr>
          <w:rFonts w:hint="eastAsia" w:ascii="宋体" w:hAnsi="宋体" w:eastAsia="宋体" w:cs="宋体"/>
          <w:sz w:val="21"/>
          <w:szCs w:val="21"/>
          <w:lang w:eastAsia="zh-CN"/>
        </w:rPr>
        <w:t>日期：</w:t>
      </w:r>
      <w:r>
        <w:rPr>
          <w:rFonts w:hint="eastAsia" w:ascii="宋体" w:hAnsi="宋体" w:eastAsia="宋体" w:cs="宋体"/>
          <w:sz w:val="21"/>
          <w:szCs w:val="21"/>
          <w:lang w:val="en-US" w:eastAsia="zh-CN"/>
        </w:rPr>
        <w:t xml:space="preserve">     年  月  日                       金额单位：(元)</w:t>
      </w:r>
    </w:p>
    <w:tbl>
      <w:tblPr>
        <w:tblStyle w:val="3"/>
        <w:tblW w:w="0" w:type="auto"/>
        <w:tblInd w:w="-5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86"/>
        <w:gridCol w:w="1932"/>
        <w:gridCol w:w="1050"/>
        <w:gridCol w:w="1162"/>
        <w:gridCol w:w="1219"/>
        <w:gridCol w:w="13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886" w:type="dxa"/>
            <w:vAlign w:val="center"/>
          </w:tcPr>
          <w:p>
            <w:pPr>
              <w:jc w:val="center"/>
              <w:rPr>
                <w:rFonts w:hint="eastAsia" w:ascii="宋体" w:hAnsi="宋体" w:eastAsia="宋体" w:cs="宋体"/>
                <w:sz w:val="15"/>
                <w:szCs w:val="15"/>
                <w:vertAlign w:val="baseline"/>
                <w:lang w:val="en-US" w:eastAsia="zh-CN"/>
              </w:rPr>
            </w:pPr>
            <w:r>
              <w:rPr>
                <w:rFonts w:hint="eastAsia" w:ascii="宋体" w:hAnsi="宋体" w:eastAsia="宋体" w:cs="宋体"/>
                <w:sz w:val="15"/>
                <w:szCs w:val="15"/>
                <w:vertAlign w:val="baseline"/>
                <w:lang w:val="en-US" w:eastAsia="zh-CN"/>
              </w:rPr>
              <w:t>执收单位名称</w:t>
            </w:r>
          </w:p>
        </w:tc>
        <w:tc>
          <w:tcPr>
            <w:tcW w:w="2982" w:type="dxa"/>
            <w:gridSpan w:val="2"/>
            <w:vAlign w:val="center"/>
          </w:tcPr>
          <w:p>
            <w:pPr>
              <w:jc w:val="center"/>
              <w:rPr>
                <w:rFonts w:hint="eastAsia" w:ascii="宋体" w:hAnsi="宋体" w:eastAsia="宋体" w:cs="宋体"/>
                <w:sz w:val="15"/>
                <w:szCs w:val="15"/>
                <w:vertAlign w:val="baseline"/>
                <w:lang w:val="en-US" w:eastAsia="zh-CN"/>
              </w:rPr>
            </w:pPr>
          </w:p>
        </w:tc>
        <w:tc>
          <w:tcPr>
            <w:tcW w:w="1162" w:type="dxa"/>
            <w:vAlign w:val="center"/>
          </w:tcPr>
          <w:p>
            <w:pPr>
              <w:jc w:val="center"/>
              <w:rPr>
                <w:rFonts w:hint="eastAsia" w:ascii="宋体" w:hAnsi="宋体" w:eastAsia="宋体" w:cs="宋体"/>
                <w:sz w:val="15"/>
                <w:szCs w:val="15"/>
                <w:vertAlign w:val="baseline"/>
                <w:lang w:val="en-US" w:eastAsia="zh-CN"/>
              </w:rPr>
            </w:pPr>
            <w:r>
              <w:rPr>
                <w:rFonts w:hint="eastAsia" w:ascii="宋体" w:hAnsi="宋体" w:eastAsia="宋体" w:cs="宋体"/>
                <w:sz w:val="15"/>
                <w:szCs w:val="15"/>
                <w:vertAlign w:val="baseline"/>
                <w:lang w:val="en-US" w:eastAsia="zh-CN"/>
              </w:rPr>
              <w:t>执收单位编码</w:t>
            </w:r>
          </w:p>
        </w:tc>
        <w:tc>
          <w:tcPr>
            <w:tcW w:w="2545" w:type="dxa"/>
            <w:gridSpan w:val="2"/>
            <w:vAlign w:val="center"/>
          </w:tcPr>
          <w:p>
            <w:pPr>
              <w:jc w:val="center"/>
              <w:rPr>
                <w:rFonts w:hint="eastAsia" w:ascii="宋体" w:hAnsi="宋体" w:eastAsia="宋体" w:cs="宋体"/>
                <w:sz w:val="15"/>
                <w:szCs w:val="15"/>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886" w:type="dxa"/>
            <w:vAlign w:val="center"/>
          </w:tcPr>
          <w:p>
            <w:pPr>
              <w:jc w:val="center"/>
              <w:rPr>
                <w:rFonts w:hint="eastAsia" w:ascii="宋体" w:hAnsi="宋体" w:eastAsia="宋体" w:cs="宋体"/>
                <w:sz w:val="15"/>
                <w:szCs w:val="15"/>
                <w:vertAlign w:val="baseline"/>
                <w:lang w:val="en-US" w:eastAsia="zh-CN"/>
              </w:rPr>
            </w:pPr>
            <w:r>
              <w:rPr>
                <w:rFonts w:hint="eastAsia" w:ascii="宋体" w:hAnsi="宋体" w:eastAsia="宋体" w:cs="宋体"/>
                <w:sz w:val="15"/>
                <w:szCs w:val="15"/>
                <w:vertAlign w:val="baseline"/>
                <w:lang w:val="en-US" w:eastAsia="zh-CN"/>
              </w:rPr>
              <w:t>缴款单位/个人</w:t>
            </w:r>
          </w:p>
        </w:tc>
        <w:tc>
          <w:tcPr>
            <w:tcW w:w="6689" w:type="dxa"/>
            <w:gridSpan w:val="5"/>
            <w:vAlign w:val="center"/>
          </w:tcPr>
          <w:p>
            <w:pPr>
              <w:jc w:val="center"/>
              <w:rPr>
                <w:rFonts w:hint="eastAsia" w:ascii="宋体" w:hAnsi="宋体" w:eastAsia="宋体" w:cs="宋体"/>
                <w:sz w:val="15"/>
                <w:szCs w:val="15"/>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886" w:type="dxa"/>
            <w:vAlign w:val="center"/>
          </w:tcPr>
          <w:p>
            <w:pPr>
              <w:jc w:val="center"/>
              <w:rPr>
                <w:rFonts w:hint="eastAsia" w:ascii="宋体" w:hAnsi="宋体" w:eastAsia="宋体" w:cs="宋体"/>
                <w:sz w:val="15"/>
                <w:szCs w:val="15"/>
                <w:vertAlign w:val="baseline"/>
                <w:lang w:val="en-US" w:eastAsia="zh-CN"/>
              </w:rPr>
            </w:pPr>
            <w:r>
              <w:rPr>
                <w:rFonts w:hint="eastAsia" w:ascii="宋体" w:hAnsi="宋体" w:eastAsia="宋体" w:cs="宋体"/>
                <w:sz w:val="15"/>
                <w:szCs w:val="15"/>
                <w:vertAlign w:val="baseline"/>
                <w:lang w:val="en-US" w:eastAsia="zh-CN"/>
              </w:rPr>
              <w:t>缴款项目编码</w:t>
            </w:r>
          </w:p>
        </w:tc>
        <w:tc>
          <w:tcPr>
            <w:tcW w:w="1932" w:type="dxa"/>
            <w:vAlign w:val="center"/>
          </w:tcPr>
          <w:p>
            <w:pPr>
              <w:jc w:val="center"/>
              <w:rPr>
                <w:rFonts w:hint="eastAsia" w:ascii="宋体" w:hAnsi="宋体" w:eastAsia="宋体" w:cs="宋体"/>
                <w:sz w:val="15"/>
                <w:szCs w:val="15"/>
                <w:vertAlign w:val="baseline"/>
                <w:lang w:val="en-US" w:eastAsia="zh-CN"/>
              </w:rPr>
            </w:pPr>
            <w:r>
              <w:rPr>
                <w:rFonts w:hint="eastAsia" w:ascii="宋体" w:hAnsi="宋体" w:eastAsia="宋体" w:cs="宋体"/>
                <w:sz w:val="15"/>
                <w:szCs w:val="15"/>
                <w:vertAlign w:val="baseline"/>
                <w:lang w:val="en-US" w:eastAsia="zh-CN"/>
              </w:rPr>
              <w:t>缴款项目名称</w:t>
            </w:r>
          </w:p>
        </w:tc>
        <w:tc>
          <w:tcPr>
            <w:tcW w:w="1050" w:type="dxa"/>
            <w:vAlign w:val="center"/>
          </w:tcPr>
          <w:p>
            <w:pPr>
              <w:jc w:val="center"/>
              <w:rPr>
                <w:rFonts w:hint="eastAsia" w:ascii="宋体" w:hAnsi="宋体" w:eastAsia="宋体" w:cs="宋体"/>
                <w:sz w:val="15"/>
                <w:szCs w:val="15"/>
                <w:vertAlign w:val="baseline"/>
                <w:lang w:val="en-US" w:eastAsia="zh-CN"/>
              </w:rPr>
            </w:pPr>
            <w:r>
              <w:rPr>
                <w:rFonts w:hint="eastAsia" w:ascii="宋体" w:hAnsi="宋体" w:eastAsia="宋体" w:cs="宋体"/>
                <w:sz w:val="15"/>
                <w:szCs w:val="15"/>
                <w:vertAlign w:val="baseline"/>
                <w:lang w:val="en-US" w:eastAsia="zh-CN"/>
              </w:rPr>
              <w:t>标准</w:t>
            </w:r>
          </w:p>
        </w:tc>
        <w:tc>
          <w:tcPr>
            <w:tcW w:w="1162" w:type="dxa"/>
            <w:vAlign w:val="center"/>
          </w:tcPr>
          <w:p>
            <w:pPr>
              <w:jc w:val="center"/>
              <w:rPr>
                <w:rFonts w:hint="eastAsia" w:ascii="宋体" w:hAnsi="宋体" w:eastAsia="宋体" w:cs="宋体"/>
                <w:sz w:val="15"/>
                <w:szCs w:val="15"/>
                <w:vertAlign w:val="baseline"/>
                <w:lang w:val="en-US" w:eastAsia="zh-CN"/>
              </w:rPr>
            </w:pPr>
            <w:r>
              <w:rPr>
                <w:rFonts w:hint="eastAsia" w:ascii="宋体" w:hAnsi="宋体" w:eastAsia="宋体" w:cs="宋体"/>
                <w:sz w:val="15"/>
                <w:szCs w:val="15"/>
                <w:vertAlign w:val="baseline"/>
                <w:lang w:val="en-US" w:eastAsia="zh-CN"/>
              </w:rPr>
              <w:t>数量</w:t>
            </w:r>
          </w:p>
        </w:tc>
        <w:tc>
          <w:tcPr>
            <w:tcW w:w="1219" w:type="dxa"/>
            <w:vAlign w:val="center"/>
          </w:tcPr>
          <w:p>
            <w:pPr>
              <w:jc w:val="center"/>
              <w:rPr>
                <w:rFonts w:hint="eastAsia" w:ascii="宋体" w:hAnsi="宋体" w:eastAsia="宋体" w:cs="宋体"/>
                <w:sz w:val="15"/>
                <w:szCs w:val="15"/>
                <w:vertAlign w:val="baseline"/>
                <w:lang w:val="en-US" w:eastAsia="zh-CN"/>
              </w:rPr>
            </w:pPr>
            <w:r>
              <w:rPr>
                <w:rFonts w:hint="eastAsia" w:ascii="宋体" w:hAnsi="宋体" w:eastAsia="宋体" w:cs="宋体"/>
                <w:sz w:val="15"/>
                <w:szCs w:val="15"/>
                <w:vertAlign w:val="baseline"/>
                <w:lang w:val="en-US" w:eastAsia="zh-CN"/>
              </w:rPr>
              <w:t>滞纳金率</w:t>
            </w:r>
          </w:p>
        </w:tc>
        <w:tc>
          <w:tcPr>
            <w:tcW w:w="1326" w:type="dxa"/>
            <w:vAlign w:val="center"/>
          </w:tcPr>
          <w:p>
            <w:pPr>
              <w:jc w:val="center"/>
              <w:rPr>
                <w:rFonts w:hint="eastAsia" w:ascii="宋体" w:hAnsi="宋体" w:eastAsia="宋体" w:cs="宋体"/>
                <w:sz w:val="15"/>
                <w:szCs w:val="15"/>
                <w:vertAlign w:val="baseline"/>
                <w:lang w:val="en-US" w:eastAsia="zh-CN"/>
              </w:rPr>
            </w:pPr>
            <w:r>
              <w:rPr>
                <w:rFonts w:hint="eastAsia" w:ascii="宋体" w:hAnsi="宋体" w:eastAsia="宋体" w:cs="宋体"/>
                <w:sz w:val="15"/>
                <w:szCs w:val="15"/>
                <w:vertAlign w:val="baseline"/>
                <w:lang w:val="en-US" w:eastAsia="zh-CN"/>
              </w:rPr>
              <w:t>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886" w:type="dxa"/>
            <w:vAlign w:val="center"/>
          </w:tcPr>
          <w:p>
            <w:pPr>
              <w:jc w:val="center"/>
              <w:rPr>
                <w:rFonts w:hint="default"/>
                <w:sz w:val="24"/>
                <w:szCs w:val="24"/>
                <w:vertAlign w:val="baseline"/>
                <w:lang w:val="en-US" w:eastAsia="zh-CN"/>
              </w:rPr>
            </w:pPr>
          </w:p>
        </w:tc>
        <w:tc>
          <w:tcPr>
            <w:tcW w:w="1932" w:type="dxa"/>
            <w:vAlign w:val="center"/>
          </w:tcPr>
          <w:p>
            <w:pPr>
              <w:jc w:val="center"/>
              <w:rPr>
                <w:rFonts w:hint="eastAsia" w:ascii="宋体" w:hAnsi="宋体" w:eastAsia="宋体" w:cs="宋体"/>
                <w:sz w:val="15"/>
                <w:szCs w:val="15"/>
                <w:vertAlign w:val="baseline"/>
                <w:lang w:val="en-US" w:eastAsia="zh-CN"/>
              </w:rPr>
            </w:pPr>
          </w:p>
        </w:tc>
        <w:tc>
          <w:tcPr>
            <w:tcW w:w="1050" w:type="dxa"/>
            <w:vAlign w:val="center"/>
          </w:tcPr>
          <w:p>
            <w:pPr>
              <w:jc w:val="center"/>
              <w:rPr>
                <w:rFonts w:hint="eastAsia" w:ascii="宋体" w:hAnsi="宋体" w:eastAsia="宋体" w:cs="宋体"/>
                <w:sz w:val="15"/>
                <w:szCs w:val="15"/>
                <w:vertAlign w:val="baseline"/>
                <w:lang w:val="en-US" w:eastAsia="zh-CN"/>
              </w:rPr>
            </w:pPr>
          </w:p>
        </w:tc>
        <w:tc>
          <w:tcPr>
            <w:tcW w:w="1162" w:type="dxa"/>
            <w:vAlign w:val="center"/>
          </w:tcPr>
          <w:p>
            <w:pPr>
              <w:jc w:val="center"/>
              <w:rPr>
                <w:rFonts w:hint="eastAsia" w:ascii="宋体" w:hAnsi="宋体" w:eastAsia="宋体" w:cs="宋体"/>
                <w:sz w:val="15"/>
                <w:szCs w:val="15"/>
                <w:vertAlign w:val="baseline"/>
                <w:lang w:val="en-US" w:eastAsia="zh-CN"/>
              </w:rPr>
            </w:pPr>
          </w:p>
        </w:tc>
        <w:tc>
          <w:tcPr>
            <w:tcW w:w="1219" w:type="dxa"/>
            <w:vAlign w:val="center"/>
          </w:tcPr>
          <w:p>
            <w:pPr>
              <w:jc w:val="center"/>
              <w:rPr>
                <w:rFonts w:hint="eastAsia" w:ascii="宋体" w:hAnsi="宋体" w:eastAsia="宋体" w:cs="宋体"/>
                <w:sz w:val="15"/>
                <w:szCs w:val="15"/>
                <w:vertAlign w:val="baseline"/>
                <w:lang w:val="en-US" w:eastAsia="zh-CN"/>
              </w:rPr>
            </w:pPr>
          </w:p>
        </w:tc>
        <w:tc>
          <w:tcPr>
            <w:tcW w:w="1326" w:type="dxa"/>
            <w:vAlign w:val="center"/>
          </w:tcPr>
          <w:p>
            <w:pPr>
              <w:jc w:val="center"/>
              <w:rPr>
                <w:rFonts w:hint="eastAsia" w:ascii="宋体" w:hAnsi="宋体" w:eastAsia="宋体" w:cs="宋体"/>
                <w:sz w:val="15"/>
                <w:szCs w:val="15"/>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886" w:type="dxa"/>
            <w:vAlign w:val="center"/>
          </w:tcPr>
          <w:p>
            <w:pPr>
              <w:jc w:val="center"/>
              <w:rPr>
                <w:rFonts w:hint="default"/>
                <w:sz w:val="24"/>
                <w:szCs w:val="24"/>
                <w:vertAlign w:val="baseline"/>
                <w:lang w:val="en-US" w:eastAsia="zh-CN"/>
              </w:rPr>
            </w:pPr>
          </w:p>
        </w:tc>
        <w:tc>
          <w:tcPr>
            <w:tcW w:w="1932" w:type="dxa"/>
            <w:vAlign w:val="center"/>
          </w:tcPr>
          <w:p>
            <w:pPr>
              <w:jc w:val="center"/>
              <w:rPr>
                <w:rFonts w:hint="eastAsia" w:ascii="宋体" w:hAnsi="宋体" w:eastAsia="宋体" w:cs="宋体"/>
                <w:sz w:val="15"/>
                <w:szCs w:val="15"/>
                <w:vertAlign w:val="baseline"/>
                <w:lang w:val="en-US" w:eastAsia="zh-CN"/>
              </w:rPr>
            </w:pPr>
          </w:p>
        </w:tc>
        <w:tc>
          <w:tcPr>
            <w:tcW w:w="1050" w:type="dxa"/>
            <w:vAlign w:val="center"/>
          </w:tcPr>
          <w:p>
            <w:pPr>
              <w:jc w:val="center"/>
              <w:rPr>
                <w:rFonts w:hint="eastAsia" w:ascii="宋体" w:hAnsi="宋体" w:eastAsia="宋体" w:cs="宋体"/>
                <w:sz w:val="15"/>
                <w:szCs w:val="15"/>
                <w:vertAlign w:val="baseline"/>
                <w:lang w:val="en-US" w:eastAsia="zh-CN"/>
              </w:rPr>
            </w:pPr>
          </w:p>
        </w:tc>
        <w:tc>
          <w:tcPr>
            <w:tcW w:w="1162" w:type="dxa"/>
            <w:vAlign w:val="center"/>
          </w:tcPr>
          <w:p>
            <w:pPr>
              <w:jc w:val="center"/>
              <w:rPr>
                <w:rFonts w:hint="eastAsia" w:ascii="宋体" w:hAnsi="宋体" w:eastAsia="宋体" w:cs="宋体"/>
                <w:sz w:val="15"/>
                <w:szCs w:val="15"/>
                <w:vertAlign w:val="baseline"/>
                <w:lang w:val="en-US" w:eastAsia="zh-CN"/>
              </w:rPr>
            </w:pPr>
          </w:p>
        </w:tc>
        <w:tc>
          <w:tcPr>
            <w:tcW w:w="1219" w:type="dxa"/>
            <w:vAlign w:val="center"/>
          </w:tcPr>
          <w:p>
            <w:pPr>
              <w:jc w:val="center"/>
              <w:rPr>
                <w:rFonts w:hint="eastAsia" w:ascii="宋体" w:hAnsi="宋体" w:eastAsia="宋体" w:cs="宋体"/>
                <w:sz w:val="15"/>
                <w:szCs w:val="15"/>
                <w:vertAlign w:val="baseline"/>
                <w:lang w:val="en-US" w:eastAsia="zh-CN"/>
              </w:rPr>
            </w:pPr>
          </w:p>
        </w:tc>
        <w:tc>
          <w:tcPr>
            <w:tcW w:w="1326" w:type="dxa"/>
            <w:vAlign w:val="center"/>
          </w:tcPr>
          <w:p>
            <w:pPr>
              <w:jc w:val="center"/>
              <w:rPr>
                <w:rFonts w:hint="eastAsia" w:ascii="宋体" w:hAnsi="宋体" w:eastAsia="宋体" w:cs="宋体"/>
                <w:sz w:val="15"/>
                <w:szCs w:val="15"/>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886" w:type="dxa"/>
            <w:vAlign w:val="center"/>
          </w:tcPr>
          <w:p>
            <w:pPr>
              <w:jc w:val="center"/>
              <w:rPr>
                <w:rFonts w:hint="default"/>
                <w:sz w:val="24"/>
                <w:szCs w:val="24"/>
                <w:vertAlign w:val="baseline"/>
                <w:lang w:val="en-US" w:eastAsia="zh-CN"/>
              </w:rPr>
            </w:pPr>
          </w:p>
        </w:tc>
        <w:tc>
          <w:tcPr>
            <w:tcW w:w="1932" w:type="dxa"/>
            <w:vAlign w:val="center"/>
          </w:tcPr>
          <w:p>
            <w:pPr>
              <w:jc w:val="center"/>
              <w:rPr>
                <w:rFonts w:hint="eastAsia" w:ascii="宋体" w:hAnsi="宋体" w:eastAsia="宋体" w:cs="宋体"/>
                <w:sz w:val="15"/>
                <w:szCs w:val="15"/>
                <w:vertAlign w:val="baseline"/>
                <w:lang w:val="en-US" w:eastAsia="zh-CN"/>
              </w:rPr>
            </w:pPr>
          </w:p>
        </w:tc>
        <w:tc>
          <w:tcPr>
            <w:tcW w:w="1050" w:type="dxa"/>
            <w:vAlign w:val="center"/>
          </w:tcPr>
          <w:p>
            <w:pPr>
              <w:jc w:val="center"/>
              <w:rPr>
                <w:rFonts w:hint="eastAsia" w:ascii="宋体" w:hAnsi="宋体" w:eastAsia="宋体" w:cs="宋体"/>
                <w:sz w:val="15"/>
                <w:szCs w:val="15"/>
                <w:vertAlign w:val="baseline"/>
                <w:lang w:val="en-US" w:eastAsia="zh-CN"/>
              </w:rPr>
            </w:pPr>
          </w:p>
        </w:tc>
        <w:tc>
          <w:tcPr>
            <w:tcW w:w="1162" w:type="dxa"/>
            <w:vAlign w:val="center"/>
          </w:tcPr>
          <w:p>
            <w:pPr>
              <w:jc w:val="center"/>
              <w:rPr>
                <w:rFonts w:hint="eastAsia" w:ascii="宋体" w:hAnsi="宋体" w:eastAsia="宋体" w:cs="宋体"/>
                <w:sz w:val="15"/>
                <w:szCs w:val="15"/>
                <w:vertAlign w:val="baseline"/>
                <w:lang w:val="en-US" w:eastAsia="zh-CN"/>
              </w:rPr>
            </w:pPr>
          </w:p>
        </w:tc>
        <w:tc>
          <w:tcPr>
            <w:tcW w:w="1219" w:type="dxa"/>
            <w:vAlign w:val="center"/>
          </w:tcPr>
          <w:p>
            <w:pPr>
              <w:jc w:val="center"/>
              <w:rPr>
                <w:rFonts w:hint="eastAsia" w:ascii="宋体" w:hAnsi="宋体" w:eastAsia="宋体" w:cs="宋体"/>
                <w:sz w:val="15"/>
                <w:szCs w:val="15"/>
                <w:vertAlign w:val="baseline"/>
                <w:lang w:val="en-US" w:eastAsia="zh-CN"/>
              </w:rPr>
            </w:pPr>
          </w:p>
        </w:tc>
        <w:tc>
          <w:tcPr>
            <w:tcW w:w="1326" w:type="dxa"/>
            <w:vAlign w:val="center"/>
          </w:tcPr>
          <w:p>
            <w:pPr>
              <w:jc w:val="center"/>
              <w:rPr>
                <w:rFonts w:hint="eastAsia" w:ascii="宋体" w:hAnsi="宋体" w:eastAsia="宋体" w:cs="宋体"/>
                <w:sz w:val="15"/>
                <w:szCs w:val="15"/>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886" w:type="dxa"/>
            <w:vAlign w:val="center"/>
          </w:tcPr>
          <w:p>
            <w:pPr>
              <w:keepNext w:val="0"/>
              <w:keepLines w:val="0"/>
              <w:pageBreakBefore w:val="0"/>
              <w:widowControl w:val="0"/>
              <w:kinsoku/>
              <w:wordWrap/>
              <w:overflowPunct/>
              <w:topLinePunct w:val="0"/>
              <w:autoSpaceDE/>
              <w:autoSpaceDN/>
              <w:bidi w:val="0"/>
              <w:adjustRightInd/>
              <w:snapToGrid/>
              <w:spacing w:line="160" w:lineRule="exact"/>
              <w:jc w:val="center"/>
              <w:textAlignment w:val="auto"/>
              <w:rPr>
                <w:rFonts w:hint="default"/>
                <w:sz w:val="24"/>
                <w:szCs w:val="24"/>
                <w:vertAlign w:val="baseline"/>
                <w:lang w:val="en-US" w:eastAsia="zh-CN"/>
              </w:rPr>
            </w:pPr>
            <w:r>
              <w:rPr>
                <w:rFonts w:hint="eastAsia" w:ascii="宋体" w:hAnsi="宋体" w:eastAsia="宋体" w:cs="宋体"/>
                <w:sz w:val="15"/>
                <w:szCs w:val="15"/>
                <w:vertAlign w:val="baseline"/>
                <w:lang w:val="en-US" w:eastAsia="zh-CN"/>
              </w:rPr>
              <w:t>合计</w:t>
            </w:r>
          </w:p>
        </w:tc>
        <w:tc>
          <w:tcPr>
            <w:tcW w:w="6689" w:type="dxa"/>
            <w:gridSpan w:val="5"/>
            <w:vAlign w:val="center"/>
          </w:tcPr>
          <w:p>
            <w:pPr>
              <w:keepNext w:val="0"/>
              <w:keepLines w:val="0"/>
              <w:pageBreakBefore w:val="0"/>
              <w:widowControl w:val="0"/>
              <w:kinsoku/>
              <w:wordWrap/>
              <w:overflowPunct/>
              <w:topLinePunct w:val="0"/>
              <w:autoSpaceDE/>
              <w:autoSpaceDN/>
              <w:bidi w:val="0"/>
              <w:adjustRightInd/>
              <w:snapToGrid/>
              <w:spacing w:line="160" w:lineRule="exact"/>
              <w:jc w:val="center"/>
              <w:textAlignment w:val="auto"/>
              <w:rPr>
                <w:rFonts w:hint="eastAsia" w:ascii="宋体" w:hAnsi="宋体" w:eastAsia="宋体" w:cs="宋体"/>
                <w:sz w:val="15"/>
                <w:szCs w:val="15"/>
                <w:vertAlign w:val="baseline"/>
                <w:lang w:val="en-US" w:eastAsia="zh-CN"/>
              </w:rPr>
            </w:pPr>
            <w:r>
              <w:rPr>
                <w:rFonts w:hint="eastAsia" w:ascii="宋体" w:hAnsi="宋体" w:eastAsia="宋体" w:cs="宋体"/>
                <w:sz w:val="15"/>
                <w:szCs w:val="15"/>
                <w:vertAlign w:val="baseline"/>
                <w:lang w:val="en-US" w:eastAsia="zh-CN"/>
              </w:rPr>
              <w:t>万    仟     佰     拾     元整       ¥</w:t>
            </w:r>
          </w:p>
        </w:tc>
      </w:tr>
    </w:tbl>
    <w:tbl>
      <w:tblPr>
        <w:tblStyle w:val="3"/>
        <w:tblpPr w:leftFromText="180" w:rightFromText="180" w:vertAnchor="text" w:horzAnchor="page" w:tblpX="1765" w:tblpY="87"/>
        <w:tblOverlap w:val="never"/>
        <w:tblW w:w="858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3"/>
        <w:gridCol w:w="2067"/>
        <w:gridCol w:w="2720"/>
        <w:gridCol w:w="1907"/>
        <w:gridCol w:w="12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03" w:type="dxa"/>
            <w:vAlign w:val="center"/>
          </w:tcPr>
          <w:p>
            <w:pPr>
              <w:keepNext w:val="0"/>
              <w:keepLines w:val="0"/>
              <w:pageBreakBefore w:val="0"/>
              <w:widowControl w:val="0"/>
              <w:kinsoku/>
              <w:wordWrap/>
              <w:overflowPunct/>
              <w:topLinePunct w:val="0"/>
              <w:autoSpaceDE/>
              <w:autoSpaceDN/>
              <w:bidi w:val="0"/>
              <w:adjustRightInd/>
              <w:snapToGrid/>
              <w:spacing w:line="160" w:lineRule="exact"/>
              <w:jc w:val="center"/>
              <w:textAlignment w:val="auto"/>
              <w:rPr>
                <w:rFonts w:hint="eastAsia" w:ascii="宋体" w:hAnsi="宋体" w:eastAsia="宋体" w:cs="宋体"/>
                <w:sz w:val="15"/>
                <w:szCs w:val="15"/>
                <w:vertAlign w:val="baseline"/>
                <w:lang w:val="en-US" w:eastAsia="zh-CN"/>
              </w:rPr>
            </w:pPr>
            <w:r>
              <w:rPr>
                <w:rFonts w:hint="eastAsia" w:ascii="宋体" w:hAnsi="宋体" w:eastAsia="宋体" w:cs="宋体"/>
                <w:sz w:val="15"/>
                <w:szCs w:val="15"/>
                <w:vertAlign w:val="baseline"/>
                <w:lang w:val="en-US" w:eastAsia="zh-CN"/>
              </w:rPr>
              <w:t>序号</w:t>
            </w:r>
          </w:p>
        </w:tc>
        <w:tc>
          <w:tcPr>
            <w:tcW w:w="2067" w:type="dxa"/>
            <w:vAlign w:val="center"/>
          </w:tcPr>
          <w:p>
            <w:pPr>
              <w:keepNext w:val="0"/>
              <w:keepLines w:val="0"/>
              <w:pageBreakBefore w:val="0"/>
              <w:widowControl w:val="0"/>
              <w:kinsoku/>
              <w:wordWrap/>
              <w:overflowPunct/>
              <w:topLinePunct w:val="0"/>
              <w:autoSpaceDE/>
              <w:autoSpaceDN/>
              <w:bidi w:val="0"/>
              <w:adjustRightInd/>
              <w:snapToGrid/>
              <w:spacing w:line="160" w:lineRule="exact"/>
              <w:jc w:val="center"/>
              <w:textAlignment w:val="auto"/>
              <w:rPr>
                <w:rFonts w:hint="eastAsia" w:ascii="宋体" w:hAnsi="宋体" w:eastAsia="宋体" w:cs="宋体"/>
                <w:sz w:val="15"/>
                <w:szCs w:val="15"/>
                <w:vertAlign w:val="baseline"/>
                <w:lang w:val="en-US" w:eastAsia="zh-CN"/>
              </w:rPr>
            </w:pPr>
            <w:r>
              <w:rPr>
                <w:rFonts w:hint="eastAsia" w:ascii="宋体" w:hAnsi="宋体" w:eastAsia="宋体" w:cs="宋体"/>
                <w:sz w:val="15"/>
                <w:szCs w:val="15"/>
                <w:vertAlign w:val="baseline"/>
                <w:lang w:val="en-US" w:eastAsia="zh-CN"/>
              </w:rPr>
              <w:t>银行</w:t>
            </w:r>
          </w:p>
        </w:tc>
        <w:tc>
          <w:tcPr>
            <w:tcW w:w="2720" w:type="dxa"/>
            <w:vAlign w:val="center"/>
          </w:tcPr>
          <w:p>
            <w:pPr>
              <w:keepNext w:val="0"/>
              <w:keepLines w:val="0"/>
              <w:pageBreakBefore w:val="0"/>
              <w:widowControl w:val="0"/>
              <w:kinsoku/>
              <w:wordWrap/>
              <w:overflowPunct/>
              <w:topLinePunct w:val="0"/>
              <w:autoSpaceDE/>
              <w:autoSpaceDN/>
              <w:bidi w:val="0"/>
              <w:adjustRightInd/>
              <w:snapToGrid/>
              <w:spacing w:line="160" w:lineRule="exact"/>
              <w:jc w:val="center"/>
              <w:textAlignment w:val="auto"/>
              <w:rPr>
                <w:rFonts w:hint="eastAsia" w:ascii="宋体" w:hAnsi="宋体" w:eastAsia="宋体" w:cs="宋体"/>
                <w:sz w:val="15"/>
                <w:szCs w:val="15"/>
                <w:vertAlign w:val="baseline"/>
                <w:lang w:val="en-US" w:eastAsia="zh-CN"/>
              </w:rPr>
            </w:pPr>
            <w:r>
              <w:rPr>
                <w:rFonts w:hint="eastAsia" w:ascii="宋体" w:hAnsi="宋体" w:eastAsia="宋体" w:cs="宋体"/>
                <w:sz w:val="15"/>
                <w:szCs w:val="15"/>
                <w:vertAlign w:val="baseline"/>
                <w:lang w:val="en-US" w:eastAsia="zh-CN"/>
              </w:rPr>
              <w:t>账户名称</w:t>
            </w:r>
          </w:p>
        </w:tc>
        <w:tc>
          <w:tcPr>
            <w:tcW w:w="1907" w:type="dxa"/>
            <w:vAlign w:val="center"/>
          </w:tcPr>
          <w:p>
            <w:pPr>
              <w:keepNext w:val="0"/>
              <w:keepLines w:val="0"/>
              <w:pageBreakBefore w:val="0"/>
              <w:widowControl w:val="0"/>
              <w:kinsoku/>
              <w:wordWrap/>
              <w:overflowPunct/>
              <w:topLinePunct w:val="0"/>
              <w:autoSpaceDE/>
              <w:autoSpaceDN/>
              <w:bidi w:val="0"/>
              <w:adjustRightInd/>
              <w:snapToGrid/>
              <w:spacing w:line="160" w:lineRule="exact"/>
              <w:jc w:val="center"/>
              <w:textAlignment w:val="auto"/>
              <w:rPr>
                <w:rFonts w:hint="eastAsia" w:ascii="宋体" w:hAnsi="宋体" w:eastAsia="宋体" w:cs="宋体"/>
                <w:sz w:val="15"/>
                <w:szCs w:val="15"/>
                <w:vertAlign w:val="baseline"/>
                <w:lang w:val="en-US" w:eastAsia="zh-CN"/>
              </w:rPr>
            </w:pPr>
            <w:r>
              <w:rPr>
                <w:rFonts w:hint="eastAsia" w:ascii="宋体" w:hAnsi="宋体" w:eastAsia="宋体" w:cs="宋体"/>
                <w:sz w:val="15"/>
                <w:szCs w:val="15"/>
                <w:vertAlign w:val="baseline"/>
                <w:lang w:val="en-US" w:eastAsia="zh-CN"/>
              </w:rPr>
              <w:t>账号</w:t>
            </w:r>
          </w:p>
        </w:tc>
        <w:tc>
          <w:tcPr>
            <w:tcW w:w="1290" w:type="dxa"/>
            <w:vAlign w:val="center"/>
          </w:tcPr>
          <w:p>
            <w:pPr>
              <w:keepNext w:val="0"/>
              <w:keepLines w:val="0"/>
              <w:pageBreakBefore w:val="0"/>
              <w:widowControl w:val="0"/>
              <w:kinsoku/>
              <w:wordWrap/>
              <w:overflowPunct/>
              <w:topLinePunct w:val="0"/>
              <w:autoSpaceDE/>
              <w:autoSpaceDN/>
              <w:bidi w:val="0"/>
              <w:adjustRightInd/>
              <w:snapToGrid/>
              <w:spacing w:line="160" w:lineRule="exact"/>
              <w:jc w:val="center"/>
              <w:textAlignment w:val="auto"/>
              <w:rPr>
                <w:rFonts w:hint="default"/>
                <w:sz w:val="24"/>
                <w:szCs w:val="24"/>
                <w:vertAlign w:val="baseline"/>
                <w:lang w:val="en-US" w:eastAsia="zh-CN"/>
              </w:rPr>
            </w:pPr>
            <w:r>
              <w:rPr>
                <w:rFonts w:hint="eastAsia" w:ascii="宋体" w:hAnsi="宋体" w:eastAsia="宋体" w:cs="宋体"/>
                <w:sz w:val="15"/>
                <w:szCs w:val="15"/>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trPr>
        <w:tc>
          <w:tcPr>
            <w:tcW w:w="603" w:type="dxa"/>
            <w:vAlign w:val="center"/>
          </w:tcPr>
          <w:p>
            <w:pPr>
              <w:jc w:val="center"/>
              <w:rPr>
                <w:rFonts w:hint="eastAsia" w:ascii="宋体" w:hAnsi="宋体" w:eastAsia="宋体" w:cs="宋体"/>
                <w:sz w:val="15"/>
                <w:szCs w:val="15"/>
                <w:vertAlign w:val="baseline"/>
                <w:lang w:val="en-US" w:eastAsia="zh-CN"/>
              </w:rPr>
            </w:pPr>
            <w:r>
              <w:rPr>
                <w:rFonts w:hint="eastAsia" w:ascii="宋体" w:hAnsi="宋体" w:eastAsia="宋体" w:cs="宋体"/>
                <w:sz w:val="15"/>
                <w:szCs w:val="15"/>
                <w:vertAlign w:val="baseline"/>
                <w:lang w:val="en-US" w:eastAsia="zh-CN"/>
              </w:rPr>
              <w:t>1</w:t>
            </w:r>
          </w:p>
        </w:tc>
        <w:tc>
          <w:tcPr>
            <w:tcW w:w="2067" w:type="dxa"/>
            <w:vAlign w:val="center"/>
          </w:tcPr>
          <w:p>
            <w:pPr>
              <w:jc w:val="both"/>
              <w:rPr>
                <w:rFonts w:hint="eastAsia" w:ascii="宋体" w:hAnsi="宋体" w:eastAsia="宋体" w:cs="宋体"/>
                <w:sz w:val="15"/>
                <w:szCs w:val="15"/>
                <w:vertAlign w:val="baseline"/>
                <w:lang w:val="en-US" w:eastAsia="zh-CN"/>
              </w:rPr>
            </w:pPr>
            <w:r>
              <w:rPr>
                <w:rFonts w:hint="eastAsia" w:ascii="宋体" w:hAnsi="宋体" w:eastAsia="宋体" w:cs="宋体"/>
                <w:sz w:val="15"/>
                <w:szCs w:val="15"/>
                <w:vertAlign w:val="baseline"/>
                <w:lang w:val="en-US" w:eastAsia="zh-CN"/>
              </w:rPr>
              <w:t>工商银行恩平支行</w:t>
            </w:r>
          </w:p>
        </w:tc>
        <w:tc>
          <w:tcPr>
            <w:tcW w:w="2720" w:type="dxa"/>
            <w:vAlign w:val="center"/>
          </w:tcPr>
          <w:p>
            <w:pPr>
              <w:jc w:val="both"/>
              <w:rPr>
                <w:rFonts w:hint="default" w:ascii="宋体" w:hAnsi="宋体" w:eastAsia="宋体" w:cs="宋体"/>
                <w:sz w:val="15"/>
                <w:szCs w:val="15"/>
                <w:vertAlign w:val="baseline"/>
                <w:lang w:val="en-US" w:eastAsia="zh-CN"/>
              </w:rPr>
            </w:pPr>
            <w:r>
              <w:rPr>
                <w:rFonts w:hint="eastAsia" w:ascii="宋体" w:hAnsi="宋体" w:eastAsia="宋体" w:cs="宋体"/>
                <w:sz w:val="15"/>
                <w:szCs w:val="15"/>
                <w:vertAlign w:val="baseline"/>
                <w:lang w:val="en-US" w:eastAsia="zh-CN"/>
              </w:rPr>
              <w:t>代理地方非税收入收缴业务资金缴款</w:t>
            </w:r>
          </w:p>
        </w:tc>
        <w:tc>
          <w:tcPr>
            <w:tcW w:w="1907" w:type="dxa"/>
            <w:vAlign w:val="center"/>
          </w:tcPr>
          <w:p>
            <w:pPr>
              <w:jc w:val="both"/>
              <w:rPr>
                <w:rFonts w:hint="default" w:ascii="宋体" w:hAnsi="宋体" w:eastAsia="宋体" w:cs="宋体"/>
                <w:sz w:val="15"/>
                <w:szCs w:val="15"/>
                <w:vertAlign w:val="baseline"/>
                <w:lang w:val="en-US" w:eastAsia="zh-CN"/>
              </w:rPr>
            </w:pPr>
            <w:r>
              <w:rPr>
                <w:rFonts w:hint="eastAsia" w:ascii="宋体" w:hAnsi="宋体" w:eastAsia="宋体" w:cs="宋体"/>
                <w:sz w:val="15"/>
                <w:szCs w:val="15"/>
                <w:vertAlign w:val="baseline"/>
                <w:lang w:val="en-US" w:eastAsia="zh-CN"/>
              </w:rPr>
              <w:t>2012009011201022128</w:t>
            </w:r>
          </w:p>
        </w:tc>
        <w:tc>
          <w:tcPr>
            <w:tcW w:w="1290" w:type="dxa"/>
            <w:vMerge w:val="restart"/>
            <w:vAlign w:val="center"/>
          </w:tcPr>
          <w:p>
            <w:pPr>
              <w:jc w:val="center"/>
              <w:rPr>
                <w:rFonts w:hint="default"/>
                <w:sz w:val="24"/>
                <w:szCs w:val="24"/>
                <w:vertAlign w:val="baseline"/>
                <w:lang w:val="en-US" w:eastAsia="zh-CN"/>
              </w:rPr>
            </w:pPr>
            <w:r>
              <w:rPr>
                <w:rFonts w:hint="eastAsia"/>
                <w:sz w:val="15"/>
                <w:szCs w:val="15"/>
                <w:vertAlign w:val="baseline"/>
                <w:lang w:val="en-US" w:eastAsia="zh-CN"/>
              </w:rPr>
              <w:t>非税收入、缴款识别码。例如：非税收入、44160021000000000001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603" w:type="dxa"/>
            <w:vAlign w:val="center"/>
          </w:tcPr>
          <w:p>
            <w:pPr>
              <w:jc w:val="center"/>
              <w:rPr>
                <w:rFonts w:hint="eastAsia" w:ascii="宋体" w:hAnsi="宋体" w:eastAsia="宋体" w:cs="宋体"/>
                <w:sz w:val="15"/>
                <w:szCs w:val="15"/>
                <w:vertAlign w:val="baseline"/>
                <w:lang w:val="en-US" w:eastAsia="zh-CN"/>
              </w:rPr>
            </w:pPr>
            <w:r>
              <w:rPr>
                <w:rFonts w:hint="eastAsia" w:ascii="宋体" w:hAnsi="宋体" w:eastAsia="宋体" w:cs="宋体"/>
                <w:sz w:val="15"/>
                <w:szCs w:val="15"/>
                <w:vertAlign w:val="baseline"/>
                <w:lang w:val="en-US" w:eastAsia="zh-CN"/>
              </w:rPr>
              <w:t>2</w:t>
            </w:r>
          </w:p>
        </w:tc>
        <w:tc>
          <w:tcPr>
            <w:tcW w:w="2067" w:type="dxa"/>
            <w:vAlign w:val="center"/>
          </w:tcPr>
          <w:p>
            <w:pPr>
              <w:jc w:val="both"/>
              <w:rPr>
                <w:rFonts w:hint="eastAsia" w:ascii="宋体" w:hAnsi="宋体" w:eastAsia="宋体" w:cs="宋体"/>
                <w:sz w:val="15"/>
                <w:szCs w:val="15"/>
                <w:vertAlign w:val="baseline"/>
                <w:lang w:val="en-US" w:eastAsia="zh-CN"/>
              </w:rPr>
            </w:pPr>
            <w:r>
              <w:rPr>
                <w:rFonts w:hint="eastAsia" w:ascii="宋体" w:hAnsi="宋体" w:eastAsia="宋体" w:cs="宋体"/>
                <w:sz w:val="15"/>
                <w:szCs w:val="15"/>
                <w:vertAlign w:val="baseline"/>
                <w:lang w:val="en-US" w:eastAsia="zh-CN"/>
              </w:rPr>
              <w:t>农业银行恩平支行</w:t>
            </w:r>
          </w:p>
        </w:tc>
        <w:tc>
          <w:tcPr>
            <w:tcW w:w="2720" w:type="dxa"/>
            <w:vAlign w:val="center"/>
          </w:tcPr>
          <w:p>
            <w:pPr>
              <w:jc w:val="both"/>
              <w:rPr>
                <w:rFonts w:hint="default" w:ascii="宋体" w:hAnsi="宋体" w:eastAsia="宋体" w:cs="宋体"/>
                <w:sz w:val="15"/>
                <w:szCs w:val="15"/>
                <w:vertAlign w:val="baseline"/>
                <w:lang w:val="en-US" w:eastAsia="zh-CN"/>
              </w:rPr>
            </w:pPr>
            <w:r>
              <w:rPr>
                <w:rFonts w:hint="eastAsia" w:ascii="宋体" w:hAnsi="宋体" w:eastAsia="宋体" w:cs="宋体"/>
                <w:sz w:val="15"/>
                <w:szCs w:val="15"/>
                <w:vertAlign w:val="baseline"/>
                <w:lang w:val="en-US" w:eastAsia="zh-CN"/>
              </w:rPr>
              <w:t>代理地方非税收入收缴待结算款项</w:t>
            </w:r>
          </w:p>
        </w:tc>
        <w:tc>
          <w:tcPr>
            <w:tcW w:w="1907" w:type="dxa"/>
            <w:vAlign w:val="center"/>
          </w:tcPr>
          <w:p>
            <w:pPr>
              <w:jc w:val="both"/>
              <w:rPr>
                <w:rFonts w:hint="default" w:ascii="宋体" w:hAnsi="宋体" w:eastAsia="宋体" w:cs="宋体"/>
                <w:sz w:val="15"/>
                <w:szCs w:val="15"/>
                <w:vertAlign w:val="baseline"/>
                <w:lang w:val="en-US" w:eastAsia="zh-CN"/>
              </w:rPr>
            </w:pPr>
            <w:r>
              <w:rPr>
                <w:rFonts w:hint="eastAsia" w:ascii="宋体" w:hAnsi="宋体" w:eastAsia="宋体" w:cs="宋体"/>
                <w:sz w:val="15"/>
                <w:szCs w:val="15"/>
                <w:vertAlign w:val="baseline"/>
                <w:lang w:val="en-US" w:eastAsia="zh-CN"/>
              </w:rPr>
              <w:t>44416001010046148</w:t>
            </w:r>
          </w:p>
        </w:tc>
        <w:tc>
          <w:tcPr>
            <w:tcW w:w="1290" w:type="dxa"/>
            <w:vMerge w:val="continue"/>
            <w:vAlign w:val="center"/>
          </w:tcPr>
          <w:p>
            <w:pPr>
              <w:jc w:val="center"/>
              <w:rPr>
                <w:rFonts w:hint="default"/>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03" w:type="dxa"/>
            <w:vAlign w:val="center"/>
          </w:tcPr>
          <w:p>
            <w:pPr>
              <w:jc w:val="center"/>
              <w:rPr>
                <w:rFonts w:hint="eastAsia" w:ascii="宋体" w:hAnsi="宋体" w:eastAsia="宋体" w:cs="宋体"/>
                <w:sz w:val="15"/>
                <w:szCs w:val="15"/>
                <w:vertAlign w:val="baseline"/>
                <w:lang w:val="en-US" w:eastAsia="zh-CN"/>
              </w:rPr>
            </w:pPr>
            <w:r>
              <w:rPr>
                <w:rFonts w:hint="eastAsia" w:ascii="宋体" w:hAnsi="宋体" w:eastAsia="宋体" w:cs="宋体"/>
                <w:sz w:val="15"/>
                <w:szCs w:val="15"/>
                <w:vertAlign w:val="baseline"/>
                <w:lang w:val="en-US" w:eastAsia="zh-CN"/>
              </w:rPr>
              <w:t>3</w:t>
            </w:r>
          </w:p>
        </w:tc>
        <w:tc>
          <w:tcPr>
            <w:tcW w:w="2067" w:type="dxa"/>
            <w:vAlign w:val="center"/>
          </w:tcPr>
          <w:p>
            <w:pPr>
              <w:jc w:val="both"/>
              <w:rPr>
                <w:rFonts w:hint="eastAsia" w:ascii="宋体" w:hAnsi="宋体" w:eastAsia="宋体" w:cs="宋体"/>
                <w:sz w:val="15"/>
                <w:szCs w:val="15"/>
                <w:vertAlign w:val="baseline"/>
                <w:lang w:val="en-US" w:eastAsia="zh-CN"/>
              </w:rPr>
            </w:pPr>
            <w:r>
              <w:rPr>
                <w:rFonts w:hint="eastAsia" w:ascii="宋体" w:hAnsi="宋体" w:eastAsia="宋体" w:cs="宋体"/>
                <w:sz w:val="15"/>
                <w:szCs w:val="15"/>
                <w:vertAlign w:val="baseline"/>
                <w:lang w:val="en-US" w:eastAsia="zh-CN"/>
              </w:rPr>
              <w:t>建设银行恩平支行</w:t>
            </w:r>
          </w:p>
        </w:tc>
        <w:tc>
          <w:tcPr>
            <w:tcW w:w="2720" w:type="dxa"/>
            <w:vAlign w:val="center"/>
          </w:tcPr>
          <w:p>
            <w:pPr>
              <w:jc w:val="both"/>
              <w:rPr>
                <w:rFonts w:hint="default" w:ascii="宋体" w:hAnsi="宋体" w:eastAsia="宋体" w:cs="宋体"/>
                <w:sz w:val="15"/>
                <w:szCs w:val="15"/>
                <w:vertAlign w:val="baseline"/>
                <w:lang w:val="en-US" w:eastAsia="zh-CN"/>
              </w:rPr>
            </w:pPr>
            <w:r>
              <w:rPr>
                <w:rFonts w:hint="eastAsia" w:ascii="宋体" w:hAnsi="宋体" w:eastAsia="宋体" w:cs="宋体"/>
                <w:sz w:val="15"/>
                <w:szCs w:val="15"/>
                <w:vertAlign w:val="baseline"/>
                <w:lang w:val="en-US" w:eastAsia="zh-CN"/>
              </w:rPr>
              <w:t>待报解预算收入暂挂户</w:t>
            </w:r>
          </w:p>
        </w:tc>
        <w:tc>
          <w:tcPr>
            <w:tcW w:w="1907" w:type="dxa"/>
            <w:vAlign w:val="center"/>
          </w:tcPr>
          <w:p>
            <w:pPr>
              <w:jc w:val="both"/>
              <w:rPr>
                <w:rFonts w:hint="default" w:ascii="宋体" w:hAnsi="宋体" w:eastAsia="宋体" w:cs="宋体"/>
                <w:sz w:val="15"/>
                <w:szCs w:val="15"/>
                <w:vertAlign w:val="baseline"/>
                <w:lang w:val="en-US" w:eastAsia="zh-CN"/>
              </w:rPr>
            </w:pPr>
            <w:r>
              <w:rPr>
                <w:rFonts w:hint="eastAsia" w:ascii="宋体" w:hAnsi="宋体" w:eastAsia="宋体" w:cs="宋体"/>
                <w:sz w:val="15"/>
                <w:szCs w:val="15"/>
                <w:vertAlign w:val="baseline"/>
                <w:lang w:val="en-US" w:eastAsia="zh-CN"/>
              </w:rPr>
              <w:t>241035009908003</w:t>
            </w:r>
          </w:p>
        </w:tc>
        <w:tc>
          <w:tcPr>
            <w:tcW w:w="1290" w:type="dxa"/>
            <w:vMerge w:val="continue"/>
            <w:vAlign w:val="center"/>
          </w:tcPr>
          <w:p>
            <w:pPr>
              <w:jc w:val="center"/>
              <w:rPr>
                <w:rFonts w:hint="default"/>
                <w:sz w:val="24"/>
                <w:szCs w:val="24"/>
                <w:vertAlign w:val="baseline"/>
                <w:lang w:val="en-US" w:eastAsia="zh-CN"/>
              </w:rPr>
            </w:pPr>
          </w:p>
        </w:tc>
      </w:tr>
    </w:tbl>
    <w:tbl>
      <w:tblPr>
        <w:tblStyle w:val="3"/>
        <w:tblpPr w:leftFromText="180" w:rightFromText="180" w:vertAnchor="text" w:horzAnchor="page" w:tblpX="1756" w:tblpY="370"/>
        <w:tblOverlap w:val="never"/>
        <w:tblW w:w="860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6"/>
        <w:gridCol w:w="819"/>
        <w:gridCol w:w="1221"/>
        <w:gridCol w:w="900"/>
        <w:gridCol w:w="1061"/>
        <w:gridCol w:w="1060"/>
        <w:gridCol w:w="1062"/>
        <w:gridCol w:w="10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426" w:type="dxa"/>
            <w:vAlign w:val="center"/>
          </w:tcPr>
          <w:p>
            <w:pPr>
              <w:keepNext w:val="0"/>
              <w:keepLines w:val="0"/>
              <w:pageBreakBefore w:val="0"/>
              <w:widowControl w:val="0"/>
              <w:kinsoku/>
              <w:wordWrap/>
              <w:overflowPunct/>
              <w:topLinePunct w:val="0"/>
              <w:autoSpaceDE/>
              <w:autoSpaceDN/>
              <w:bidi w:val="0"/>
              <w:adjustRightInd/>
              <w:snapToGrid/>
              <w:spacing w:line="160" w:lineRule="exact"/>
              <w:jc w:val="center"/>
              <w:textAlignment w:val="auto"/>
              <w:rPr>
                <w:rFonts w:hint="eastAsia" w:ascii="宋体" w:hAnsi="宋体" w:eastAsia="宋体" w:cs="宋体"/>
                <w:sz w:val="15"/>
                <w:szCs w:val="15"/>
                <w:vertAlign w:val="baseline"/>
                <w:lang w:val="en-US" w:eastAsia="zh-CN"/>
              </w:rPr>
            </w:pPr>
            <w:r>
              <w:rPr>
                <w:rFonts w:hint="eastAsia" w:ascii="宋体" w:hAnsi="宋体" w:eastAsia="宋体" w:cs="宋体"/>
                <w:sz w:val="15"/>
                <w:szCs w:val="15"/>
                <w:vertAlign w:val="baseline"/>
                <w:lang w:val="en-US" w:eastAsia="zh-CN"/>
              </w:rPr>
              <w:t>滞纳金起计日期</w:t>
            </w:r>
          </w:p>
        </w:tc>
        <w:tc>
          <w:tcPr>
            <w:tcW w:w="819" w:type="dxa"/>
            <w:vAlign w:val="center"/>
          </w:tcPr>
          <w:p>
            <w:pPr>
              <w:keepNext w:val="0"/>
              <w:keepLines w:val="0"/>
              <w:pageBreakBefore w:val="0"/>
              <w:widowControl w:val="0"/>
              <w:kinsoku/>
              <w:wordWrap/>
              <w:overflowPunct/>
              <w:topLinePunct w:val="0"/>
              <w:autoSpaceDE/>
              <w:autoSpaceDN/>
              <w:bidi w:val="0"/>
              <w:adjustRightInd/>
              <w:snapToGrid/>
              <w:spacing w:line="160" w:lineRule="exact"/>
              <w:jc w:val="center"/>
              <w:textAlignment w:val="auto"/>
              <w:rPr>
                <w:rFonts w:hint="eastAsia" w:ascii="宋体" w:hAnsi="宋体" w:eastAsia="宋体" w:cs="宋体"/>
                <w:sz w:val="15"/>
                <w:szCs w:val="15"/>
                <w:vertAlign w:val="baseline"/>
                <w:lang w:val="en-US" w:eastAsia="zh-CN"/>
              </w:rPr>
            </w:pPr>
          </w:p>
        </w:tc>
        <w:tc>
          <w:tcPr>
            <w:tcW w:w="1221" w:type="dxa"/>
            <w:vAlign w:val="center"/>
          </w:tcPr>
          <w:p>
            <w:pPr>
              <w:keepNext w:val="0"/>
              <w:keepLines w:val="0"/>
              <w:pageBreakBefore w:val="0"/>
              <w:widowControl w:val="0"/>
              <w:kinsoku/>
              <w:wordWrap/>
              <w:overflowPunct/>
              <w:topLinePunct w:val="0"/>
              <w:autoSpaceDE/>
              <w:autoSpaceDN/>
              <w:bidi w:val="0"/>
              <w:adjustRightInd/>
              <w:snapToGrid/>
              <w:spacing w:line="160" w:lineRule="exact"/>
              <w:jc w:val="center"/>
              <w:textAlignment w:val="auto"/>
              <w:rPr>
                <w:rFonts w:hint="eastAsia" w:ascii="宋体" w:hAnsi="宋体" w:eastAsia="宋体" w:cs="宋体"/>
                <w:sz w:val="15"/>
                <w:szCs w:val="15"/>
                <w:vertAlign w:val="baseline"/>
                <w:lang w:val="en-US" w:eastAsia="zh-CN"/>
              </w:rPr>
            </w:pPr>
            <w:r>
              <w:rPr>
                <w:rFonts w:hint="eastAsia" w:ascii="宋体" w:hAnsi="宋体" w:eastAsia="宋体" w:cs="宋体"/>
                <w:sz w:val="15"/>
                <w:szCs w:val="15"/>
                <w:vertAlign w:val="baseline"/>
                <w:lang w:val="en-US" w:eastAsia="zh-CN"/>
              </w:rPr>
              <w:t>缴款截止日期</w:t>
            </w:r>
          </w:p>
        </w:tc>
        <w:tc>
          <w:tcPr>
            <w:tcW w:w="900" w:type="dxa"/>
            <w:vAlign w:val="center"/>
          </w:tcPr>
          <w:p>
            <w:pPr>
              <w:keepNext w:val="0"/>
              <w:keepLines w:val="0"/>
              <w:pageBreakBefore w:val="0"/>
              <w:widowControl w:val="0"/>
              <w:kinsoku/>
              <w:wordWrap/>
              <w:overflowPunct/>
              <w:topLinePunct w:val="0"/>
              <w:autoSpaceDE/>
              <w:autoSpaceDN/>
              <w:bidi w:val="0"/>
              <w:adjustRightInd/>
              <w:snapToGrid/>
              <w:spacing w:line="160" w:lineRule="exact"/>
              <w:jc w:val="center"/>
              <w:textAlignment w:val="auto"/>
              <w:rPr>
                <w:rFonts w:hint="eastAsia" w:ascii="宋体" w:hAnsi="宋体" w:eastAsia="宋体" w:cs="宋体"/>
                <w:sz w:val="15"/>
                <w:szCs w:val="15"/>
                <w:vertAlign w:val="baseline"/>
                <w:lang w:val="en-US" w:eastAsia="zh-CN"/>
              </w:rPr>
            </w:pPr>
          </w:p>
        </w:tc>
        <w:tc>
          <w:tcPr>
            <w:tcW w:w="1061" w:type="dxa"/>
            <w:vAlign w:val="center"/>
          </w:tcPr>
          <w:p>
            <w:pPr>
              <w:keepNext w:val="0"/>
              <w:keepLines w:val="0"/>
              <w:pageBreakBefore w:val="0"/>
              <w:widowControl w:val="0"/>
              <w:kinsoku/>
              <w:wordWrap/>
              <w:overflowPunct/>
              <w:topLinePunct w:val="0"/>
              <w:autoSpaceDE/>
              <w:autoSpaceDN/>
              <w:bidi w:val="0"/>
              <w:adjustRightInd/>
              <w:snapToGrid/>
              <w:spacing w:line="160" w:lineRule="exact"/>
              <w:jc w:val="center"/>
              <w:textAlignment w:val="auto"/>
              <w:rPr>
                <w:rFonts w:hint="eastAsia" w:ascii="宋体" w:hAnsi="宋体" w:eastAsia="宋体" w:cs="宋体"/>
                <w:sz w:val="15"/>
                <w:szCs w:val="15"/>
                <w:vertAlign w:val="baseline"/>
                <w:lang w:val="en-US" w:eastAsia="zh-CN"/>
              </w:rPr>
            </w:pPr>
            <w:r>
              <w:rPr>
                <w:rFonts w:hint="eastAsia" w:ascii="宋体" w:hAnsi="宋体" w:eastAsia="宋体" w:cs="宋体"/>
                <w:sz w:val="15"/>
                <w:szCs w:val="15"/>
                <w:vertAlign w:val="baseline"/>
                <w:lang w:val="en-US" w:eastAsia="zh-CN"/>
              </w:rPr>
              <w:t>号码校验码</w:t>
            </w:r>
          </w:p>
        </w:tc>
        <w:tc>
          <w:tcPr>
            <w:tcW w:w="1060" w:type="dxa"/>
            <w:vAlign w:val="center"/>
          </w:tcPr>
          <w:p>
            <w:pPr>
              <w:keepNext w:val="0"/>
              <w:keepLines w:val="0"/>
              <w:pageBreakBefore w:val="0"/>
              <w:widowControl w:val="0"/>
              <w:kinsoku/>
              <w:wordWrap/>
              <w:overflowPunct/>
              <w:topLinePunct w:val="0"/>
              <w:autoSpaceDE/>
              <w:autoSpaceDN/>
              <w:bidi w:val="0"/>
              <w:adjustRightInd/>
              <w:snapToGrid/>
              <w:spacing w:line="160" w:lineRule="exact"/>
              <w:jc w:val="center"/>
              <w:textAlignment w:val="auto"/>
              <w:rPr>
                <w:rFonts w:hint="eastAsia" w:ascii="宋体" w:hAnsi="宋体" w:eastAsia="宋体" w:cs="宋体"/>
                <w:sz w:val="15"/>
                <w:szCs w:val="15"/>
                <w:vertAlign w:val="baseline"/>
                <w:lang w:val="en-US" w:eastAsia="zh-CN"/>
              </w:rPr>
            </w:pPr>
          </w:p>
        </w:tc>
        <w:tc>
          <w:tcPr>
            <w:tcW w:w="1062" w:type="dxa"/>
            <w:vAlign w:val="center"/>
          </w:tcPr>
          <w:p>
            <w:pPr>
              <w:keepNext w:val="0"/>
              <w:keepLines w:val="0"/>
              <w:pageBreakBefore w:val="0"/>
              <w:widowControl w:val="0"/>
              <w:kinsoku/>
              <w:wordWrap/>
              <w:overflowPunct/>
              <w:topLinePunct w:val="0"/>
              <w:autoSpaceDE/>
              <w:autoSpaceDN/>
              <w:bidi w:val="0"/>
              <w:adjustRightInd/>
              <w:snapToGrid/>
              <w:spacing w:line="160" w:lineRule="exact"/>
              <w:jc w:val="center"/>
              <w:textAlignment w:val="auto"/>
              <w:rPr>
                <w:rFonts w:hint="eastAsia" w:ascii="宋体" w:hAnsi="宋体" w:eastAsia="宋体" w:cs="宋体"/>
                <w:sz w:val="15"/>
                <w:szCs w:val="15"/>
                <w:vertAlign w:val="baseline"/>
                <w:lang w:val="en-US" w:eastAsia="zh-CN"/>
              </w:rPr>
            </w:pPr>
            <w:r>
              <w:rPr>
                <w:rFonts w:hint="eastAsia" w:ascii="宋体" w:hAnsi="宋体" w:eastAsia="宋体" w:cs="宋体"/>
                <w:sz w:val="15"/>
                <w:szCs w:val="15"/>
                <w:vertAlign w:val="baseline"/>
                <w:lang w:val="en-US" w:eastAsia="zh-CN"/>
              </w:rPr>
              <w:t>全书校验码</w:t>
            </w:r>
          </w:p>
        </w:tc>
        <w:tc>
          <w:tcPr>
            <w:tcW w:w="1055" w:type="dxa"/>
            <w:vAlign w:val="top"/>
          </w:tcPr>
          <w:p>
            <w:pPr>
              <w:keepNext w:val="0"/>
              <w:keepLines w:val="0"/>
              <w:pageBreakBefore w:val="0"/>
              <w:widowControl w:val="0"/>
              <w:kinsoku/>
              <w:wordWrap/>
              <w:overflowPunct/>
              <w:topLinePunct w:val="0"/>
              <w:autoSpaceDE/>
              <w:autoSpaceDN/>
              <w:bidi w:val="0"/>
              <w:adjustRightInd/>
              <w:snapToGrid/>
              <w:spacing w:line="160" w:lineRule="exact"/>
              <w:textAlignment w:val="auto"/>
              <w:rPr>
                <w:rFonts w:hint="eastAsia" w:ascii="宋体" w:hAnsi="宋体" w:eastAsia="宋体" w:cs="宋体"/>
                <w:sz w:val="15"/>
                <w:szCs w:val="15"/>
                <w:vertAlign w:val="baseline"/>
                <w:lang w:val="en-US" w:eastAsia="zh-CN"/>
              </w:rPr>
            </w:pPr>
          </w:p>
        </w:tc>
      </w:tr>
    </w:tbl>
    <w:p>
      <w:pPr>
        <w:keepNext w:val="0"/>
        <w:keepLines w:val="0"/>
        <w:pageBreakBefore w:val="0"/>
        <w:widowControl w:val="0"/>
        <w:kinsoku/>
        <w:wordWrap/>
        <w:overflowPunct/>
        <w:topLinePunct w:val="0"/>
        <w:autoSpaceDE/>
        <w:autoSpaceDN/>
        <w:bidi w:val="0"/>
        <w:adjustRightInd/>
        <w:snapToGrid/>
        <w:spacing w:line="160" w:lineRule="exact"/>
        <w:textAlignment w:val="auto"/>
        <w:rPr>
          <w:rFonts w:hint="default"/>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160" w:lineRule="exact"/>
        <w:textAlignment w:val="auto"/>
        <w:rPr>
          <w:rFonts w:hint="default"/>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方正仿宋简体" w:hAnsi="方正仿宋简体" w:eastAsia="方正仿宋简体" w:cs="方正仿宋简体"/>
          <w:sz w:val="24"/>
          <w:szCs w:val="24"/>
          <w:lang w:val="en-US" w:eastAsia="zh-CN"/>
        </w:rPr>
      </w:pPr>
      <w:r>
        <w:rPr>
          <w:rFonts w:hint="eastAsia" w:ascii="方正仿宋简体" w:hAnsi="方正仿宋简体" w:eastAsia="方正仿宋简体" w:cs="方正仿宋简体"/>
          <w:sz w:val="24"/>
          <w:szCs w:val="24"/>
          <w:lang w:val="en-US" w:eastAsia="zh-CN"/>
        </w:rPr>
        <w:t>执收单位（盖章）                经办人：               复核人：</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方正仿宋简体" w:hAnsi="方正仿宋简体" w:eastAsia="方正仿宋简体" w:cs="方正仿宋简体"/>
          <w:sz w:val="24"/>
          <w:szCs w:val="24"/>
          <w:lang w:val="en-US" w:eastAsia="zh-CN"/>
        </w:rPr>
      </w:pPr>
      <w:r>
        <w:rPr>
          <w:rFonts w:hint="eastAsia" w:ascii="方正仿宋简体" w:hAnsi="方正仿宋简体" w:eastAsia="方正仿宋简体" w:cs="方正仿宋简体"/>
          <w:sz w:val="24"/>
          <w:szCs w:val="24"/>
          <w:lang w:val="en-US" w:eastAsia="zh-CN"/>
        </w:rPr>
        <w:t>注：</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方正仿宋简体" w:hAnsi="方正仿宋简体" w:eastAsia="方正仿宋简体" w:cs="方正仿宋简体"/>
          <w:sz w:val="24"/>
          <w:szCs w:val="24"/>
          <w:lang w:val="en-US" w:eastAsia="zh-CN"/>
        </w:rPr>
      </w:pPr>
      <w:r>
        <w:rPr>
          <w:rFonts w:hint="eastAsia" w:ascii="方正仿宋简体" w:hAnsi="方正仿宋简体" w:eastAsia="方正仿宋简体" w:cs="方正仿宋简体"/>
          <w:sz w:val="24"/>
          <w:szCs w:val="24"/>
          <w:lang w:val="en-US" w:eastAsia="zh-CN"/>
        </w:rPr>
        <w:t>1、缴款单位（或个人）使用转账方式缴纳恩平市本级非税收入时，需在转账单备注栏中注明“非税收入、缴款识别码”，例如“</w:t>
      </w:r>
      <w:r>
        <w:rPr>
          <w:rFonts w:hint="eastAsia" w:ascii="方正仿宋简体" w:hAnsi="方正仿宋简体" w:eastAsia="方正仿宋简体" w:cs="方正仿宋简体"/>
          <w:sz w:val="24"/>
          <w:szCs w:val="24"/>
          <w:vertAlign w:val="baseline"/>
          <w:lang w:val="en-US" w:eastAsia="zh-CN"/>
        </w:rPr>
        <w:t>非税收入、44160021000000000001</w:t>
      </w:r>
      <w:r>
        <w:rPr>
          <w:rFonts w:hint="eastAsia" w:ascii="方正仿宋简体" w:hAnsi="方正仿宋简体" w:eastAsia="方正仿宋简体" w:cs="方正仿宋简体"/>
          <w:sz w:val="24"/>
          <w:szCs w:val="24"/>
          <w:lang w:val="en-US" w:eastAsia="zh-CN"/>
        </w:rPr>
        <w:t>”。转账办理缴费业务后，缴款单位（或个人）可登录广东公共支付平台输入缴款识别码查询缴费后开具。电子票据为报销和办理业务的唯一有效凭证。</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方正仿宋简体" w:hAnsi="方正仿宋简体" w:eastAsia="方正仿宋简体" w:cs="方正仿宋简体"/>
          <w:sz w:val="24"/>
          <w:szCs w:val="24"/>
          <w:lang w:val="en-US" w:eastAsia="zh-CN"/>
        </w:rPr>
      </w:pPr>
      <w:r>
        <w:rPr>
          <w:rFonts w:hint="eastAsia" w:ascii="方正仿宋简体" w:hAnsi="方正仿宋简体" w:eastAsia="方正仿宋简体" w:cs="方正仿宋简体"/>
          <w:sz w:val="24"/>
          <w:szCs w:val="24"/>
          <w:lang w:val="en-US" w:eastAsia="zh-CN"/>
        </w:rPr>
        <w:t>2、缴费单位（或个人）转账后未及时获得电子票据的务必在转账当月通过拨打主办行联系电话查询款项是否到账，确认款项到账后，缴款单位（或个人）可登录广东公共支付平台输入缴款识别码查询缴费后开具，如未按备注信息转账，收款银行于30天后将转账款作退回原账户处理。</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方正仿宋简体" w:hAnsi="方正仿宋简体" w:eastAsia="方正仿宋简体" w:cs="方正仿宋简体"/>
          <w:sz w:val="24"/>
          <w:szCs w:val="24"/>
          <w:lang w:val="en-US" w:eastAsia="zh-CN"/>
        </w:rPr>
      </w:pPr>
      <w:r>
        <w:rPr>
          <w:rFonts w:hint="eastAsia" w:ascii="方正仿宋简体" w:hAnsi="方正仿宋简体" w:eastAsia="方正仿宋简体" w:cs="方正仿宋简体"/>
          <w:sz w:val="24"/>
          <w:szCs w:val="24"/>
          <w:lang w:val="en-US" w:eastAsia="zh-CN"/>
        </w:rPr>
        <w:t>3、银行咨询电话： 工商银行恩平分行营业部：0750-7712843；</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方正仿宋简体" w:hAnsi="方正仿宋简体" w:eastAsia="方正仿宋简体" w:cs="方正仿宋简体"/>
          <w:sz w:val="24"/>
          <w:szCs w:val="24"/>
          <w:lang w:val="en-US" w:eastAsia="zh-CN"/>
        </w:rPr>
      </w:pPr>
      <w:r>
        <w:rPr>
          <w:rFonts w:hint="eastAsia" w:ascii="方正仿宋简体" w:hAnsi="方正仿宋简体" w:eastAsia="方正仿宋简体" w:cs="方正仿宋简体"/>
          <w:sz w:val="24"/>
          <w:szCs w:val="24"/>
          <w:lang w:val="en-US" w:eastAsia="zh-CN"/>
        </w:rPr>
        <w:t xml:space="preserve">                  农业银行恩平分行：0750-7722573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2160" w:firstLineChars="900"/>
        <w:textAlignment w:val="auto"/>
        <w:rPr>
          <w:rFonts w:hint="eastAsia" w:ascii="方正仿宋简体" w:hAnsi="方正仿宋简体" w:eastAsia="方正仿宋简体" w:cs="方正仿宋简体"/>
          <w:sz w:val="24"/>
          <w:szCs w:val="24"/>
          <w:lang w:val="en-US" w:eastAsia="zh-CN"/>
        </w:rPr>
      </w:pPr>
      <w:r>
        <w:rPr>
          <w:rFonts w:hint="eastAsia" w:ascii="方正仿宋简体" w:hAnsi="方正仿宋简体" w:eastAsia="方正仿宋简体" w:cs="方正仿宋简体"/>
          <w:sz w:val="24"/>
          <w:szCs w:val="24"/>
          <w:lang w:val="en-US" w:eastAsia="zh-CN"/>
        </w:rPr>
        <w:t>建设银行恩平市分行：0750-7722933、0750-3298354。</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DC2163E"/>
    <w:rsid w:val="11BD61AE"/>
    <w:rsid w:val="1C1E4784"/>
    <w:rsid w:val="1CD833D1"/>
    <w:rsid w:val="1EC27692"/>
    <w:rsid w:val="29A52B9D"/>
    <w:rsid w:val="34E313A7"/>
    <w:rsid w:val="362B6D8E"/>
    <w:rsid w:val="5B6105BB"/>
    <w:rsid w:val="5BE2171C"/>
    <w:rsid w:val="5C5647B3"/>
    <w:rsid w:val="5DC2163E"/>
    <w:rsid w:val="61604A59"/>
    <w:rsid w:val="63C45D64"/>
    <w:rsid w:val="734177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TotalTime>
  <ScaleCrop>false</ScaleCrop>
  <LinksUpToDate>false</LinksUpToDate>
  <CharactersWithSpaces>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2021-04-01T03:51:00Z</dcterms:created>
  <dc:creator>Mascot</dc:creator>
  <cp:lastModifiedBy>Hins—L</cp:lastModifiedBy>
  <cp:lastPrinted>2021-09-09T02:19:00Z</cp:lastPrinted>
  <dcterms:modified xsi:type="dcterms:W3CDTF">2021-09-13T00:43:40Z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2BE3F88E944D46F8A579464E1D36A322</vt:lpwstr>
  </property>
</Properties>
</file>