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eastAsia="zh-CN"/>
        </w:rPr>
      </w:pPr>
      <w:r>
        <w:rPr>
          <w:rFonts w:hint="eastAsia"/>
          <w:sz w:val="32"/>
          <w:szCs w:val="32"/>
          <w:lang w:eastAsia="zh-CN"/>
        </w:rPr>
        <w:t>附件</w:t>
      </w:r>
      <w:r>
        <w:rPr>
          <w:rFonts w:hint="eastAsia"/>
          <w:sz w:val="32"/>
          <w:szCs w:val="32"/>
          <w:lang w:val="en-US" w:eastAsia="zh-CN"/>
        </w:rPr>
        <w:t>3</w:t>
      </w:r>
    </w:p>
    <w:p>
      <w:pPr>
        <w:jc w:val="center"/>
        <w:rPr>
          <w:rFonts w:hint="eastAsia" w:eastAsiaTheme="minorEastAsia"/>
          <w:sz w:val="36"/>
          <w:szCs w:val="36"/>
          <w:lang w:val="en-US" w:eastAsia="zh-CN"/>
        </w:rPr>
      </w:pPr>
      <w:bookmarkStart w:id="0" w:name="_GoBack"/>
      <w:bookmarkEnd w:id="0"/>
      <w:r>
        <w:rPr>
          <w:rFonts w:hint="eastAsia"/>
          <w:sz w:val="36"/>
          <w:szCs w:val="36"/>
          <w:lang w:eastAsia="zh-CN"/>
        </w:rPr>
        <w:t>非税收入缴款通知书（2021年样式）.docx</w:t>
      </w:r>
      <w:r>
        <w:rPr>
          <w:rFonts w:hint="eastAsia"/>
          <w:sz w:val="36"/>
          <w:szCs w:val="36"/>
          <w:lang w:val="en-US" w:eastAsia="zh-CN"/>
        </w:rPr>
        <w:t xml:space="preserve"> NO:</w:t>
      </w: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日期：</w:t>
      </w:r>
      <w:r>
        <w:rPr>
          <w:rFonts w:hint="eastAsia" w:ascii="宋体" w:hAnsi="宋体" w:eastAsia="宋体" w:cs="宋体"/>
          <w:sz w:val="21"/>
          <w:szCs w:val="21"/>
          <w:lang w:val="en-US" w:eastAsia="zh-CN"/>
        </w:rPr>
        <w:t xml:space="preserve">     年  月  日                       金额单位：(元)</w:t>
      </w:r>
    </w:p>
    <w:tbl>
      <w:tblPr>
        <w:tblStyle w:val="3"/>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1932"/>
        <w:gridCol w:w="1050"/>
        <w:gridCol w:w="1162"/>
        <w:gridCol w:w="121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执收单位名称</w:t>
            </w:r>
          </w:p>
        </w:tc>
        <w:tc>
          <w:tcPr>
            <w:tcW w:w="2982" w:type="dxa"/>
            <w:gridSpan w:val="2"/>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执收单位编码</w:t>
            </w:r>
          </w:p>
        </w:tc>
        <w:tc>
          <w:tcPr>
            <w:tcW w:w="2545" w:type="dxa"/>
            <w:gridSpan w:val="2"/>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缴款单位/个人</w:t>
            </w:r>
          </w:p>
        </w:tc>
        <w:tc>
          <w:tcPr>
            <w:tcW w:w="6689" w:type="dxa"/>
            <w:gridSpan w:val="5"/>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缴款项目编码</w:t>
            </w:r>
          </w:p>
        </w:tc>
        <w:tc>
          <w:tcPr>
            <w:tcW w:w="193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缴款项目名称</w:t>
            </w:r>
          </w:p>
        </w:tc>
        <w:tc>
          <w:tcPr>
            <w:tcW w:w="1050"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标准</w:t>
            </w: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数量</w:t>
            </w:r>
          </w:p>
        </w:tc>
        <w:tc>
          <w:tcPr>
            <w:tcW w:w="1219"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滞纳金率</w:t>
            </w:r>
          </w:p>
        </w:tc>
        <w:tc>
          <w:tcPr>
            <w:tcW w:w="132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合计</w:t>
            </w:r>
          </w:p>
        </w:tc>
        <w:tc>
          <w:tcPr>
            <w:tcW w:w="6689" w:type="dxa"/>
            <w:gridSpan w:val="5"/>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万    仟     佰     拾     元整       ¥</w:t>
            </w:r>
          </w:p>
        </w:tc>
      </w:tr>
    </w:tbl>
    <w:tbl>
      <w:tblPr>
        <w:tblStyle w:val="3"/>
        <w:tblpPr w:leftFromText="180" w:rightFromText="180" w:vertAnchor="text" w:horzAnchor="page" w:tblpX="1765" w:tblpY="87"/>
        <w:tblOverlap w:val="never"/>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067"/>
        <w:gridCol w:w="2720"/>
        <w:gridCol w:w="2307"/>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序号</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账户名称</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账号</w:t>
            </w:r>
          </w:p>
        </w:tc>
        <w:tc>
          <w:tcPr>
            <w:tcW w:w="89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建设银行江门分行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待报解预算收入暂挂户</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440670239156241035009908003</w:t>
            </w:r>
          </w:p>
        </w:tc>
        <w:tc>
          <w:tcPr>
            <w:tcW w:w="890" w:type="dxa"/>
            <w:vMerge w:val="restart"/>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中国银行江门分行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待结算地方财政非税收入</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9336770018535022</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广发银行江门分行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待报解预算收入-非税</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10300115622159021990001</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中国邮政储蓄银行江门分行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代理收缴非税收入款项</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4415602000860491</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5</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农业银行江门分行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待结算江门市非税代收缴专户</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370301012000158</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工商银行江门分行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待报解预算收入-江门市市级非税收入</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2012002711200317833</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7</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江门农村商业银行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待划款项</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9083510012030001</w:t>
            </w:r>
          </w:p>
        </w:tc>
        <w:tc>
          <w:tcPr>
            <w:tcW w:w="890" w:type="dxa"/>
            <w:vMerge w:val="continue"/>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p>
        </w:tc>
      </w:tr>
    </w:tbl>
    <w:tbl>
      <w:tblPr>
        <w:tblStyle w:val="3"/>
        <w:tblpPr w:leftFromText="180" w:rightFromText="180" w:vertAnchor="text" w:horzAnchor="page" w:tblpX="1756" w:tblpY="370"/>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819"/>
        <w:gridCol w:w="1221"/>
        <w:gridCol w:w="900"/>
        <w:gridCol w:w="1061"/>
        <w:gridCol w:w="1060"/>
        <w:gridCol w:w="1062"/>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滞纳金起计日期</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22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缴款截止日期</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号码校验码</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全书校验码</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sz w:val="15"/>
                <w:szCs w:val="15"/>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执收单位（盖章）                经办人：               复核人：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缴费单位（个人）可往农业银行江门分行市区的营业网点；建设银行江门分行市区对公营业网点办理缴款手续；</w:t>
      </w:r>
      <w:r>
        <w:rPr>
          <w:rFonts w:hint="eastAsia" w:ascii="宋体" w:hAnsi="宋体" w:eastAsia="宋体" w:cs="宋体"/>
          <w:color w:val="auto"/>
          <w:sz w:val="21"/>
          <w:szCs w:val="21"/>
          <w:highlight w:val="none"/>
          <w:lang w:val="en-US" w:eastAsia="zh-CN"/>
        </w:rPr>
        <w:t>中行江门市蓬江区港口路22号。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代收银行咨询电话：农行：3287620，建行：3500108，中行：3163222，邮政行：3500283，发展行3288621，工行：3169861。如遇银行拒收，缴款人可直接拨打上述电话投诉或请银行柜台人员拨打上述电话进行咨询。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需转账缴款时，本缴款通知书必须随转账凭证一并交换至收款银行。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采用转账方式缴款的，转账时需备注执收单位编码和通知书编码；转账后请及时到收款银行开具财政票据，未开具的视为未缴款。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非税网上缴费，目前只支持建行、农行、中行网银。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3AE0A"/>
    <w:multiLevelType w:val="singleLevel"/>
    <w:tmpl w:val="B773AE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D833D1"/>
    <w:rsid w:val="1EC27692"/>
    <w:rsid w:val="362B6D8E"/>
    <w:rsid w:val="581E1DFB"/>
    <w:rsid w:val="5BE2171C"/>
    <w:rsid w:val="5DC2163E"/>
    <w:rsid w:val="61604A59"/>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2021-04-01T03:51:00Z</dcterms:created>
  <dc:creator>Mascot</dc:creator>
  <cp:lastModifiedBy>黄毅能</cp:lastModifiedBy>
  <cp:lastPrinted>2021-04-01T08:32:00Z</cp:lastPrinted>
  <dcterms:modified xsi:type="dcterms:W3CDTF">2021-09-06T03:47:44Z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D7E6F9412379413C89588C0F31D557EF</vt:lpwstr>
  </property>
</Properties>
</file>