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 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本次检验不合格项目的说明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一、联苯菊酯</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联苯菊酯</w:t>
      </w:r>
      <w:r>
        <w:rPr>
          <w:rFonts w:hint="eastAsia" w:ascii="仿宋" w:hAnsi="仿宋" w:eastAsia="仿宋" w:cs="仿宋"/>
          <w:sz w:val="32"/>
          <w:szCs w:val="32"/>
          <w:lang w:eastAsia="zh-CN"/>
        </w:rPr>
        <w:t>具有</w:t>
      </w:r>
      <w:r>
        <w:rPr>
          <w:rFonts w:hint="eastAsia" w:ascii="仿宋" w:hAnsi="仿宋" w:eastAsia="仿宋" w:cs="仿宋"/>
          <w:sz w:val="32"/>
          <w:szCs w:val="32"/>
        </w:rPr>
        <w:t>触杀和胃毒作用。对多种叶面害虫有效，包括鞘翅目、双翅目、异翅亚目、同翅目、鳞翅目和直翅目害虫；对某些种类的螨虫也有效。适用作物包括谷物、柑橘、棉花、果树、葡萄、观赏植物和蔬菜。大鼠急性经口 LD50 为 53.4mg/kg，急性毒性分级为中等毒。属于拟除虫菊酯类性农药。急性中毒症状为头痛、头晕、恶心、呕吐、胸闷、乏力、双手颤抖、心律不齐等，严重者深度昏迷或休克。食用食品一般不会导致联苯菊酯的急性中毒，但长期食用联苯菊酯超标的食品，对人体健康也有一定影响。联合国粮农组织和世界卫生组织农药残留联席会议（JMPR）2009 年制定了其日容许摄入量（ADI）为 0.01mg/kg bw，我国《食品安全国家标准 食品中农药最大残留限量》（GB2763-2021）中 ADI 值亦为 0.01mg/kg bw。</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二、二氧化硫</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w:t>
      </w:r>
      <w:r>
        <w:rPr>
          <w:rFonts w:hint="eastAsia" w:ascii="仿宋" w:hAnsi="仿宋" w:eastAsia="仿宋" w:cs="仿宋"/>
          <w:sz w:val="32"/>
          <w:szCs w:val="32"/>
          <w:lang w:eastAsia="zh-CN"/>
        </w:rPr>
        <w:t>。联合国粮农组织（FAO）和世界卫生组织食品添加剂联合专家委员会（JECFA）建议其日容许摄入量（ADI）为 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0.7mg/kg bw。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三、黄曲霉毒素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黄曲霉毒素（aflatoxin, AF）是黄曲霉和寄生曲霉等霉菌产生的次生代谢产物。目前已发现的AF有20多种，其中在紫外光下产生蓝紫色荧光的为黄曲霉毒素B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和黄曲霉毒素 B</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，产生黄绿色荧光的为黄曲霉毒素G</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和黄曲霉毒素G</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。黄曲霉毒素M</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和黄曲霉毒素M</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是黄曲霉毒素B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和黄曲霉毒素B</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的羟基化代谢物。牲畜摄食被黄曲霉毒素污染的饲料后，在乳汁和尿中可检出其代谢产物黄曲霉毒素M</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和黄曲霉毒素M</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，可通过乳汁分泌。因此，在粮油食品监测中常以黄曲霉毒素B</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作为污染指标，而在乳及乳制品中是以黄曲霉毒素M</w:t>
      </w:r>
      <w:r>
        <w:rPr>
          <w:rFonts w:hint="eastAsia" w:ascii="仿宋" w:hAnsi="仿宋" w:eastAsia="仿宋" w:cs="仿宋"/>
          <w:sz w:val="32"/>
          <w:szCs w:val="32"/>
          <w:vertAlign w:val="subscript"/>
          <w:lang w:val="en-US" w:eastAsia="zh-CN"/>
        </w:rPr>
        <w:t>1</w:t>
      </w:r>
      <w:r>
        <w:rPr>
          <w:rFonts w:hint="eastAsia" w:ascii="仿宋" w:hAnsi="仿宋" w:eastAsia="仿宋" w:cs="仿宋"/>
          <w:sz w:val="32"/>
          <w:szCs w:val="32"/>
          <w:lang w:val="en-US" w:eastAsia="zh-CN"/>
        </w:rPr>
        <w:t>为监测指标。大量摄入AF时会引发急性中毒，早期症状有食欲下降、低热等；晚期症状包括呕吐、腹痛以及肝损害，严重者可死亡。黄曲霉毒素慢性毒性主要是肝毒性，表现为肝脏出现亚急性或慢性损伤，体重减轻，诱发肝癌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四、甜蜜素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甜蜜素，化学名称为环己基氨基磺酸钠，是一种常用甜味剂，其甜度是蔗糖的30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80倍，可用于饮料、果汁、冰激凌、糕点、蜜饯等食品。人体不吸收甜蜜素，几乎全部原样从粪便排出。联合国粮农组织（FAO）和世界卫生组织食品添加剂联合专家委员会（JECFA）建议其日容许摄入量（ADI）为0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11mg/kg bw。甜蜜素在蜜饯凉果中的使用易超标，其主要原因为在蜜饯凉果中除了作为甜味剂使用外，更重要的功能是增加风味。除了蜜饯凉果外，在腌渍的蔬菜中，也发现许多边远县镇农贸市场自产自销的散装酱菜中超标率较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五、咪鲜胺和咪鲜胺锰盐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咪鲜胺和咪鲜胺锰盐是一种广谱高效杀菌剂。大鼠急性经口毒性试验LD50为1600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2400mg/kg，急性毒性分级标准为低毒级，一般只对皮肤、眼有刺激症状，经口中毒低，无中毒报道。相关研究未见遗传毒性和致癌性。少量的农药残留不会引起人体急性中毒，但长期食用咪鲜胺超标的食品，对人体健康可能有一定影响。联合国粮农组织和世界卫生组织农药残留联席会议（JMPR）建议其日容许摄入量（ADI）为 0.01mg/kg bw（2001）；急性参考剂量（ARfD）为0.1mg/kg bw（2001）。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六、谷氨酸钠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谷氨酸钠（monosodium glutamat）是一种无色至白色结晶性颗粒或粉末，易溶于水，无肉眼可见杂质。具有特殊鲜味，无异味。谷氨酸钠具有强烈的肉类鲜味，特别是在微酸性溶液中味道更鲜，鲜味阈值为 0.014%。味精使用浓度一般为 0.2%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0.5%，试验表明，谷氨酸钠质量占食品质量的 0.2%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0.8%时能最大程度的增进食品天然风味。pH 值在 6~7 之间时谷氨酸钠全部离解，鲜味最高。而谷氨酸有缓和咸、酸、苦味的作用，能减弱糖精的苦味，并能引出食品中所具有的自然风味。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正常摄入量的谷氨酸钠对人体相对安全。2017年欧盟制定了谷氨酸及其盐类的日容许摄入量（ADI）为 30mg/kg bw。但是联合国粮农组织（FAO）和世界卫生组织食品添加剂联合专家委员会（JECFA）没有对其日容许摄入量（ADI）进行数值限制。谷氨酸钠作为增味剂，使用应遵循《食品安全国家标准 食品添加剂使用标准》（GB2760-2014）的规定，可以用于各类食品，GB 2760暂未对谷氨酸钠作为食品添加剂使用进行限量规定。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谷氨酸钠除了作为食品添加剂使用，还是鸡精、鸡粉的组成成分。根据我国商业行业标准《鸡精调味料》（SB/T 10371）和《鸡粉调味料》（SB/T 10415）的规定，谷氨酸钠在鸡粉调味料中的含量应大于等于 10.0g/100g，在鸡精调味料中的含量应大于等于35.0g/100g。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呈味核苷酸二钠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呈味核苷酸二钠，即 5’-呈味核苷酸二钠，是一种白色或类白色的结晶或结晶性粉末。呈味核苷酸二钠可增强制品的鲜味，通常与谷氨酸钠混合使用，添加量约为谷氨酸钠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的 2%</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10%；本品易受磷酸酶分解、破坏，使用前应注意钝化食品中的酶。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联合国粮农组织（FAO）和世界卫生组织食品添加剂联合专家委员会（JECFA）对其制定了日容许摄入量（ADI）为不受限制，说明该物质作为食品添加剂使用是非常安全的。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呈味核苷酸二钠作为增味剂用于食品，使用应遵循《食品安全国家标准 食品添加剂使用标准》（GB 2760-2014）的规定，可以用于各类食品中，GB 2760 暂未对呈味核苷酸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二钠作为食品添加剂使用进行限量规定。呈味核苷酸二钠除了作为食品添加剂使用，还是鸡精、鸡粉的组成成分。根据我国商业行业标准《鸡精调味料》（SB/T 10371-2003）和《鸡粉调味料》（SB/T 10415-2007）的规定，呈味核苷酸二钠在鸡粉调味料中的含量应大于等于 0.3g/100g，在鸡精调味料中的含量应大于等于 1.1 g/100g</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八、氯唑磷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氯唑磷</w:t>
      </w:r>
      <w:r>
        <w:rPr>
          <w:rFonts w:hint="eastAsia" w:ascii="仿宋" w:hAnsi="仿宋" w:eastAsia="仿宋" w:cs="仿宋"/>
          <w:sz w:val="32"/>
          <w:szCs w:val="32"/>
          <w:lang w:val="en-US" w:eastAsia="zh-CN"/>
        </w:rPr>
        <w:t>是</w:t>
      </w:r>
      <w:r>
        <w:rPr>
          <w:rFonts w:hint="default" w:ascii="仿宋" w:hAnsi="仿宋" w:eastAsia="仿宋" w:cs="仿宋"/>
          <w:sz w:val="32"/>
          <w:szCs w:val="32"/>
          <w:lang w:val="en-US" w:eastAsia="zh-CN"/>
        </w:rPr>
        <w:t>内吸性有机磷杀线虫剂和杀虫剂。抑制胆碱酯酶的活性，干扰线虫昆虫神经系统的协调作用而导致死亡。用于防治刺吸式口器害虫，螨和鳞翅目幼虫。可防治棉、麦、水稻、大豆、甜菜、果树等作物的害虫，对蚜虫、红蜘蛛有良好防效，也可拌种防治地下害虫。大鼠急性经口 LD</w:t>
      </w:r>
      <w:r>
        <w:rPr>
          <w:rFonts w:hint="default" w:ascii="仿宋" w:hAnsi="仿宋" w:eastAsia="仿宋" w:cs="仿宋"/>
          <w:sz w:val="32"/>
          <w:szCs w:val="32"/>
          <w:vertAlign w:val="subscript"/>
          <w:lang w:val="en-US" w:eastAsia="zh-CN"/>
        </w:rPr>
        <w:t>50</w:t>
      </w:r>
      <w:r>
        <w:rPr>
          <w:rFonts w:hint="default" w:ascii="仿宋" w:hAnsi="仿宋" w:eastAsia="仿宋" w:cs="仿宋"/>
          <w:sz w:val="32"/>
          <w:szCs w:val="32"/>
          <w:lang w:val="en-US" w:eastAsia="zh-CN"/>
        </w:rPr>
        <w:t>40mg/kg。急性毒性分级为高毒级。中毒机制为抑制体内胆碱酯酶活性，中毒可出现多汗、流涎、瞳孔缩小、视物模糊、恶心、呕吐、腹痛、震颤、肌肉痉挛等，严重者可因呼吸中枢麻痹而死亡。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食用食品一般不会导致氯</w:t>
      </w:r>
      <w:bookmarkStart w:id="0" w:name="_GoBack"/>
      <w:bookmarkEnd w:id="0"/>
      <w:r>
        <w:rPr>
          <w:rFonts w:hint="default" w:ascii="仿宋" w:hAnsi="仿宋" w:eastAsia="仿宋" w:cs="仿宋"/>
          <w:sz w:val="32"/>
          <w:szCs w:val="32"/>
          <w:lang w:val="en-US" w:eastAsia="zh-CN"/>
        </w:rPr>
        <w:t>唑磷的急性中毒，但长期食用氯唑磷超标的食品，对人体健康也有一定影响。美国环境保护局（EPA）1989年制定了其日容许摄入量（ADI）为 0.00005mg/kg bw，我国《食品安全国家标准 食品中农药最大残留限量》（GB 2763-2021）中ADI值亦为0.00005mg/kg bw。</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4829"/>
    <w:rsid w:val="1E844F47"/>
    <w:rsid w:val="70D64829"/>
    <w:rsid w:val="7318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2025-09-11T03:14:00Z</dcterms:created>
  <dc:creator>陈金生</dc:creator>
  <cp:lastModifiedBy>陈金生</cp:lastModifiedBy>
  <dcterms:modified xsi:type="dcterms:W3CDTF">2025-12-10T03:37:49Z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