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2.           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  <w:t>专利纠纷行政裁决流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程图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626745</wp:posOffset>
            </wp:positionV>
            <wp:extent cx="6623685" cy="8622665"/>
            <wp:effectExtent l="0" t="0" r="0" b="0"/>
            <wp:wrapNone/>
            <wp:docPr id="2" name="图片 1" descr="行政裁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行政裁决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685" cy="862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zNmZTcwOWQ2NDNmMzJmNDUyMDRhNzQ1MTNiZDcifQ=="/>
  </w:docVars>
  <w:rsids>
    <w:rsidRoot w:val="3246085A"/>
    <w:rsid w:val="324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2024-05-31T08:28:00Z</dcterms:created>
  <dc:creator>不追</dc:creator>
  <cp:lastModifiedBy>不追</cp:lastModifiedBy>
  <dcterms:modified xsi:type="dcterms:W3CDTF">2024-05-31T08:29:36Z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85091DB03C664BABBFD8E42DDB85828E_11</vt:lpwstr>
  </property>
</Properties>
</file>