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专利纠纷行政调解流程图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718185</wp:posOffset>
            </wp:positionV>
            <wp:extent cx="5612765" cy="7184390"/>
            <wp:effectExtent l="0" t="0" r="0" b="0"/>
            <wp:wrapNone/>
            <wp:docPr id="1" name="图片 2" descr="91d45a4118253bc61645a9f0c370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1d45a4118253bc61645a9f0c3701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18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zNmZTcwOWQ2NDNmMzJmNDUyMDRhNzQ1MTNiZDcifQ=="/>
  </w:docVars>
  <w:rsids>
    <w:rsidRoot w:val="26F21505"/>
    <w:rsid w:val="26F21505"/>
    <w:rsid w:val="2D691E8F"/>
    <w:rsid w:val="58A0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2024-05-31T07:28:00Z</dcterms:created>
  <dc:creator>不追</dc:creator>
  <cp:lastModifiedBy>不追</cp:lastModifiedBy>
  <dcterms:modified xsi:type="dcterms:W3CDTF">2024-05-31T08:05:43Z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B491BF1672534465A2B4F80F41CBDA71_11</vt:lpwstr>
  </property>
</Properties>
</file>