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689" w:after="501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202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48"/>
          <w:szCs w:val="48"/>
        </w:rPr>
        <w:t>年恩平市市场监督管理局“三公”经费安排情况说明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年财政拨款安排出国（境）经费、车辆购置及运行费、公务接待费（简称“三公”经费）支出合计7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0.23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（一）因公出国（境）经费支出0万元。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（二）公务用车购置费支出0万元。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（三）公务用车运行维护费支出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59.85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万元，比上年减少3.15万元，下降5%。</w:t>
      </w:r>
    </w:p>
    <w:p>
      <w:pPr>
        <w:widowControl/>
        <w:spacing w:before="150" w:after="150" w:line="401" w:lineRule="atLeas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（四）公务接待费支出10.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38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万元，比上年减少0.55万元，下降5.03%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 w:val="24"/>
          <w:szCs w:val="24"/>
        </w:rPr>
        <w:t>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1541"/>
        <w:gridCol w:w="1593"/>
        <w:gridCol w:w="14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恩平市市场监督管理局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7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1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19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0.23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0.23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59.85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59.85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59.85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59.85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10.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YWVkNTkzMjdkMzcxZGE4MTIzZjhlNWEzZjQ4NzAifQ=="/>
  </w:docVars>
  <w:rsids>
    <w:rsidRoot w:val="00236DD4"/>
    <w:rsid w:val="000A40CE"/>
    <w:rsid w:val="00236DD4"/>
    <w:rsid w:val="00BB7BC4"/>
    <w:rsid w:val="178778A6"/>
    <w:rsid w:val="330A7AC0"/>
    <w:rsid w:val="34DF1668"/>
    <w:rsid w:val="4986469E"/>
    <w:rsid w:val="759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69</Words>
  <Characters>396</Characters>
  <Lines>3</Lines>
  <Paragraphs>1</Paragraphs>
  <TotalTime>5</TotalTime>
  <ScaleCrop>false</ScaleCrop>
  <LinksUpToDate>false</LinksUpToDate>
  <CharactersWithSpaces>464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2021-03-09T09:17:00Z</dcterms:created>
  <dc:creator>吴小玉</dc:creator>
  <cp:lastModifiedBy>prajna</cp:lastModifiedBy>
  <dcterms:modified xsi:type="dcterms:W3CDTF">2024-03-22T01:39:59Z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83425A4C4C9541DB9935914EF0DCDB42_12</vt:lpwstr>
  </property>
</Properties>
</file>