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689" w:after="501"/>
        <w:jc w:val="center"/>
        <w:outlineLvl w:val="0"/>
        <w:rPr>
          <w:rFonts w:ascii="微软雅黑" w:hAnsi="微软雅黑" w:eastAsia="微软雅黑" w:cs="宋体"/>
          <w:b/>
          <w:bCs/>
          <w:color w:val="000000"/>
          <w:kern w:val="36"/>
          <w:sz w:val="48"/>
          <w:szCs w:val="48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36"/>
          <w:sz w:val="48"/>
          <w:szCs w:val="48"/>
        </w:rPr>
        <w:t>202</w:t>
      </w:r>
      <w:r>
        <w:rPr>
          <w:rFonts w:hint="eastAsia" w:ascii="微软雅黑" w:hAnsi="微软雅黑" w:eastAsia="微软雅黑" w:cs="宋体"/>
          <w:b/>
          <w:bCs/>
          <w:color w:val="000000"/>
          <w:kern w:val="36"/>
          <w:sz w:val="48"/>
          <w:szCs w:val="48"/>
          <w:lang w:val="en-US" w:eastAsia="zh-CN"/>
        </w:rPr>
        <w:t>2</w:t>
      </w:r>
      <w:r>
        <w:rPr>
          <w:rFonts w:hint="eastAsia" w:ascii="微软雅黑" w:hAnsi="微软雅黑" w:eastAsia="微软雅黑" w:cs="宋体"/>
          <w:b/>
          <w:bCs/>
          <w:color w:val="000000"/>
          <w:kern w:val="36"/>
          <w:sz w:val="48"/>
          <w:szCs w:val="48"/>
        </w:rPr>
        <w:t>年</w:t>
      </w:r>
      <w:r>
        <w:rPr>
          <w:rFonts w:hint="eastAsia" w:ascii="微软雅黑" w:hAnsi="微软雅黑" w:eastAsia="微软雅黑" w:cs="宋体"/>
          <w:b/>
          <w:bCs/>
          <w:color w:val="000000"/>
          <w:kern w:val="36"/>
          <w:sz w:val="48"/>
          <w:szCs w:val="48"/>
          <w:lang w:eastAsia="zh-CN"/>
        </w:rPr>
        <w:t>恩平市城市管理和综合执法局</w:t>
      </w:r>
      <w:r>
        <w:rPr>
          <w:rFonts w:hint="eastAsia" w:ascii="微软雅黑" w:hAnsi="微软雅黑" w:eastAsia="微软雅黑" w:cs="宋体"/>
          <w:b/>
          <w:bCs/>
          <w:color w:val="000000"/>
          <w:kern w:val="36"/>
          <w:sz w:val="48"/>
          <w:szCs w:val="48"/>
        </w:rPr>
        <w:t>“三公”经费安排情况说明</w:t>
      </w:r>
    </w:p>
    <w:p>
      <w:pPr>
        <w:widowControl/>
        <w:spacing w:before="150" w:after="150" w:line="401" w:lineRule="atLeast"/>
        <w:ind w:firstLine="480" w:firstLineChars="200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年财政拨款安排出国（境）经费、车辆购置及运行费、公务接待费（简称“三公”经费）支出合计</w:t>
      </w:r>
      <w:r>
        <w:rPr>
          <w:rFonts w:hint="eastAsia" w:ascii="微软雅黑" w:hAnsi="微软雅黑" w:eastAsia="微软雅黑" w:cs="宋体"/>
          <w:kern w:val="0"/>
          <w:sz w:val="24"/>
          <w:szCs w:val="24"/>
          <w:lang w:val="en-US" w:eastAsia="zh-CN"/>
        </w:rPr>
        <w:t>72.75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万元。</w:t>
      </w:r>
    </w:p>
    <w:p>
      <w:pPr>
        <w:widowControl/>
        <w:spacing w:before="150" w:after="150" w:line="401" w:lineRule="atLeast"/>
        <w:ind w:firstLine="480" w:firstLineChars="200"/>
        <w:jc w:val="left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（一）因公出国（境）经费支出0万元。</w:t>
      </w:r>
    </w:p>
    <w:p>
      <w:pPr>
        <w:widowControl/>
        <w:spacing w:before="150" w:after="150" w:line="401" w:lineRule="atLeast"/>
        <w:ind w:firstLine="480" w:firstLineChars="200"/>
        <w:jc w:val="left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（二）公务用车购置费支出0万元。</w:t>
      </w:r>
    </w:p>
    <w:p>
      <w:pPr>
        <w:widowControl/>
        <w:spacing w:before="150" w:after="150" w:line="401" w:lineRule="atLeast"/>
        <w:ind w:firstLine="480" w:firstLineChars="200"/>
        <w:jc w:val="left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（三）公务用车运行维护费支出</w:t>
      </w:r>
      <w:r>
        <w:rPr>
          <w:rFonts w:hint="eastAsia" w:ascii="微软雅黑" w:hAnsi="微软雅黑" w:eastAsia="微软雅黑" w:cs="宋体"/>
          <w:kern w:val="0"/>
          <w:sz w:val="24"/>
          <w:szCs w:val="24"/>
          <w:lang w:val="en-US" w:eastAsia="zh-CN"/>
        </w:rPr>
        <w:t>8.03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万元，与上年持平。</w:t>
      </w:r>
    </w:p>
    <w:p>
      <w:pPr>
        <w:widowControl/>
        <w:spacing w:before="150" w:after="150" w:line="401" w:lineRule="atLeast"/>
        <w:ind w:firstLine="480" w:firstLineChars="200"/>
        <w:jc w:val="left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（四）公务接待费支出</w:t>
      </w:r>
      <w:r>
        <w:rPr>
          <w:rFonts w:hint="eastAsia" w:ascii="微软雅黑" w:hAnsi="微软雅黑" w:eastAsia="微软雅黑" w:cs="宋体"/>
          <w:kern w:val="0"/>
          <w:sz w:val="24"/>
          <w:szCs w:val="24"/>
          <w:lang w:val="en-US" w:eastAsia="zh-CN"/>
        </w:rPr>
        <w:t>0.27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万元，与上年持平。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68"/>
        <w:gridCol w:w="1541"/>
        <w:gridCol w:w="1593"/>
        <w:gridCol w:w="1403"/>
        <w:gridCol w:w="13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401" w:lineRule="atLeast"/>
              <w:ind w:firstLine="700" w:firstLineChars="250"/>
              <w:jc w:val="left"/>
              <w:rPr>
                <w:rFonts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  <w:t>202</w:t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  <w:t>年财政拨款安排的行政经费及“三公”经费预算表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4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恩平市市场监督管理局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单位:万元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374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21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219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一般公共预算</w: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政府性基金预算</w:t>
            </w:r>
          </w:p>
        </w:tc>
        <w:tc>
          <w:tcPr>
            <w:tcW w:w="18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国有资本经营预算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“三公”经费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72.75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72.75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其中：（一）因公出国（境）支出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0.00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0.00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（二）公务用车购置及运行维护支出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8.03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8.03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1.公务用车购置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0.00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0.00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2.公务用车运行维护费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8.03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8.03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（三）公务接待费支出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0.27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0.27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</w:tbl>
    <w:p/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注： 一、行政经费是指用于维持行政（参公）单位机关运行的经费。具体包括：办公费、印刷费、水费、电费、邮电费、取暖费、物业管理费、差旅费、因公出国（境）费用、维修（护）费、租赁费、会议费、培训费、公务接待费、专用材料费、被装购置费、福利费、公务用车运行维护费、其他交通费用、医疗费补助、办公设备购置、专用设备购置、信息网络及软件购置更新、公务用车购置、其他交通工具购置经济科目对应的预算资金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480" w:lineRule="atLeast"/>
        <w:ind w:left="0" w:right="0" w:firstLine="54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二、“三公”经费包括因公出国（境）经费、公务用车购置及运行维护费和公务接待费。其中：因公出国（境）经费指省直行政单位、事业单位工作人员公务出国（境）的住宿费、差旅费、伙食补助费、杂费、培训费等支出；公务用车购置及运行维护费指省直行政单位、事业单位公务用车购置费、公务用车租用费、燃料费、维修费、过桥过路费、保险费等支出；公务接待费指省直行政单位、事业单位按规定开支的各类公务接待（外宾接待）费用。   </w:t>
      </w: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6DD4"/>
    <w:rsid w:val="000A40CE"/>
    <w:rsid w:val="00236DD4"/>
    <w:rsid w:val="00BB7BC4"/>
    <w:rsid w:val="330A7AC0"/>
    <w:rsid w:val="47C0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69</Words>
  <Characters>396</Characters>
  <Lines>3</Lines>
  <Paragraphs>1</Paragraphs>
  <TotalTime>0</TotalTime>
  <ScaleCrop>false</ScaleCrop>
  <LinksUpToDate>false</LinksUpToDate>
  <CharactersWithSpaces>464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2021-03-09T09:17:00Z</dcterms:created>
  <dc:creator>吴小玉</dc:creator>
  <cp:lastModifiedBy>Administrator</cp:lastModifiedBy>
  <dcterms:modified xsi:type="dcterms:W3CDTF">2022-03-25T08:11:41Z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6C99AF01E151494998F078CB983F7A34</vt:lpwstr>
  </property>
</Properties>
</file>