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eastAsia="zh-CN"/>
        </w:rPr>
        <w:t>恩平市城市管理和综合执法局</w:t>
      </w:r>
      <w:r>
        <w:rPr>
          <w:rFonts w:hint="eastAsia"/>
          <w:sz w:val="52"/>
          <w:szCs w:val="52"/>
          <w:lang w:val="en-US" w:eastAsia="zh-CN"/>
        </w:rPr>
        <w:t>2021年“三公”经费安排情况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2021年，本部门机关运行经费安排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604.72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万元，比上年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增加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319.82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增长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1.13%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；“三公”经费安排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8.30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万元，比上年减少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0.34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万元，下降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3.93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 %。其中：因公出国（境）费0万元；公务用车购置及运行费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8.03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万元，比上年减少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0.22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万元，下降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2.67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 % ；公务接待费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0.27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万元，比上年减少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0.12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万元，下降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30.77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%。主要原因是严控一般性支出和“三公”经费支出，压减预算资金。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541"/>
        <w:gridCol w:w="1593"/>
        <w:gridCol w:w="14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401" w:lineRule="atLeast"/>
              <w:ind w:firstLine="700" w:firstLineChars="250"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年财政拨款安排的行政经费及“三公”经费预算表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单位名称：恩平市城市管理和综合执法局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单位:万元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7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国有资本经营预算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行政经费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604.72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72.72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532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8.30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8.30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其中：（一）因公出国（境）支出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（二）公务用车购置及运行维护支出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8.03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8.03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1.公务用车购置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2.公务用车运行维护费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8.03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8.03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（三）公务接待费支出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480" w:lineRule="atLeast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注： 一、行政经费是指用于维持行政（参公）单位机关运行的经费。具体包括：办公费、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经济科目对应的预算资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480" w:lineRule="atLeast"/>
        <w:ind w:left="0" w:right="0" w:firstLine="5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   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452BD"/>
    <w:rsid w:val="3A104B49"/>
    <w:rsid w:val="4A34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2022-03-21T03:53:00Z</dcterms:created>
  <dc:creator>Administrator</dc:creator>
  <cp:lastModifiedBy>Administrator</cp:lastModifiedBy>
  <dcterms:modified xsi:type="dcterms:W3CDTF">2022-03-25T08:11:40Z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50A467F33FFB4312918F41F9EE49747F</vt:lpwstr>
  </property>
</Properties>
</file>