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89" w:after="501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年恩平市市场监督管理局“三公”经费安排情况说明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年财政拨款安排出国（境）经费、车辆购置及运行费、公务接待费（简称“三公”经费）支出合计73.93万元。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（一）因公出国（境）经费支出0万元。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（二）公务用车购置费支出0万元。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（三）公务用车运行维护费支出63.00万元，与上年持平。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（四）公务接待费支出10.93万元，与上年持平。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恩平市市场监督管理局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73.93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73.93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10.93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10.93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DD4"/>
    <w:rsid w:val="000A40CE"/>
    <w:rsid w:val="00236DD4"/>
    <w:rsid w:val="00BB7BC4"/>
    <w:rsid w:val="330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2021-03-09T09:17:00Z</dcterms:created>
  <dc:creator>吴小玉</dc:creator>
  <cp:lastModifiedBy>泡泡小阿狸</cp:lastModifiedBy>
  <dcterms:modified xsi:type="dcterms:W3CDTF">2022-03-18T01:13:44Z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